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F22" w:rsidRPr="00F71F22" w:rsidRDefault="00D73945" w:rsidP="00F71F22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300D1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Nel 2018 </w:t>
      </w:r>
      <w:r w:rsidRPr="003E1444">
        <w:rPr>
          <w:rFonts w:ascii="Times New Roman" w:hAnsi="Times New Roman" w:cs="Times New Roman"/>
          <w:b/>
          <w:sz w:val="24"/>
          <w:szCs w:val="24"/>
          <w:lang w:eastAsia="it-IT"/>
        </w:rPr>
        <w:t>l’</w:t>
      </w:r>
      <w:proofErr w:type="gramStart"/>
      <w:r w:rsidRPr="003E1444">
        <w:rPr>
          <w:rFonts w:ascii="Times New Roman" w:hAnsi="Times New Roman" w:cs="Times New Roman"/>
          <w:b/>
          <w:sz w:val="24"/>
          <w:szCs w:val="24"/>
          <w:lang w:eastAsia="it-IT"/>
        </w:rPr>
        <w:t>interscambio</w:t>
      </w:r>
      <w:proofErr w:type="gramEnd"/>
      <w:r w:rsidRPr="003E1444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commerciale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2018 a 79.785,6 </w:t>
      </w:r>
      <w:proofErr w:type="spellStart"/>
      <w:r w:rsidRPr="003E1444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di € (+6,7% rispetto al 2017), mentre le importazioni sono </w:t>
      </w:r>
      <w:proofErr w:type="gramStart"/>
      <w:r w:rsidRPr="003E1444">
        <w:rPr>
          <w:rFonts w:ascii="Times New Roman" w:hAnsi="Times New Roman" w:cs="Times New Roman"/>
          <w:sz w:val="24"/>
          <w:szCs w:val="24"/>
          <w:lang w:eastAsia="it-IT"/>
        </w:rPr>
        <w:t>risultate</w:t>
      </w:r>
      <w:proofErr w:type="gramEnd"/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pari a 77.326,0 </w:t>
      </w:r>
      <w:proofErr w:type="spellStart"/>
      <w:r w:rsidRPr="003E1444">
        <w:rPr>
          <w:rFonts w:ascii="Times New Roman" w:hAnsi="Times New Roman" w:cs="Times New Roman"/>
          <w:sz w:val="24"/>
          <w:szCs w:val="24"/>
          <w:lang w:eastAsia="it-IT"/>
        </w:rPr>
        <w:t>mln</w:t>
      </w:r>
      <w:proofErr w:type="spellEnd"/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di € (+7,8% rispetto all’anno precedente), registrando un surplus della bilancia commerciale slovacca di 2.459,6 miliardi di Euro. </w:t>
      </w:r>
    </w:p>
    <w:p w:rsidR="00F71F22" w:rsidRPr="003E1444" w:rsidRDefault="00F71F22" w:rsidP="00F71F22">
      <w:pPr>
        <w:pStyle w:val="Corpodel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F71F22" w:rsidRPr="003E1444" w:rsidRDefault="00F71F22" w:rsidP="00F71F22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850"/>
        <w:gridCol w:w="850"/>
        <w:gridCol w:w="850"/>
        <w:gridCol w:w="993"/>
        <w:gridCol w:w="993"/>
        <w:gridCol w:w="992"/>
        <w:gridCol w:w="1276"/>
        <w:gridCol w:w="1701"/>
      </w:tblGrid>
      <w:tr w:rsidR="00F71F22" w:rsidRPr="003E1444" w:rsidTr="00140666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</w: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ab/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lang w:val="it-IT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lang w:val="it-IT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</w:rPr>
              <w:t>Var.</w:t>
            </w:r>
          </w:p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</w:rPr>
              <w:t>2018/2017</w:t>
            </w:r>
          </w:p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F71F22" w:rsidRPr="003E1444" w:rsidTr="00140666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b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58.588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60.152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64.360,7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66.386,3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71.706,0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77.326,0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7,8</w:t>
            </w:r>
          </w:p>
        </w:tc>
      </w:tr>
      <w:tr w:rsidR="00F71F22" w:rsidRPr="003E1444" w:rsidTr="00140666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b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62.144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</w:rPr>
            </w:pPr>
            <w:r w:rsidRPr="003E1444">
              <w:rPr>
                <w:rFonts w:ascii="Times New Roman" w:hAnsi="Times New Roman" w:cs="Times New Roman"/>
                <w:bCs/>
              </w:rPr>
              <w:t>64.801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67.679,9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70.032,2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fr-FR"/>
              </w:rPr>
            </w:pPr>
            <w:r w:rsidRPr="003E1444">
              <w:rPr>
                <w:rFonts w:ascii="Times New Roman" w:hAnsi="Times New Roman" w:cs="Times New Roman"/>
                <w:iCs/>
                <w:lang w:val="fr-FR"/>
              </w:rPr>
              <w:t>74.757,1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79.785,6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6,7</w:t>
            </w:r>
          </w:p>
        </w:tc>
      </w:tr>
      <w:tr w:rsidR="00F71F22" w:rsidRPr="003E1444" w:rsidTr="00140666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</w:rPr>
              <w:t>Saldo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3E1444">
              <w:rPr>
                <w:rFonts w:ascii="Times New Roman" w:hAnsi="Times New Roman" w:cs="Times New Roman"/>
                <w:bCs/>
              </w:rPr>
              <w:t>3.</w:t>
            </w:r>
            <w:r w:rsidRPr="003E1444">
              <w:rPr>
                <w:rFonts w:ascii="Times New Roman" w:hAnsi="Times New Roman" w:cs="Times New Roman"/>
                <w:bCs/>
                <w:lang w:val="it-IT"/>
              </w:rPr>
              <w:t>556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right"/>
              <w:rPr>
                <w:rFonts w:ascii="Times New Roman" w:hAnsi="Times New Roman" w:cs="Times New Roman"/>
                <w:bCs/>
                <w:lang w:val="it-IT"/>
              </w:rPr>
            </w:pPr>
            <w:r w:rsidRPr="003E1444">
              <w:rPr>
                <w:rFonts w:ascii="Times New Roman" w:hAnsi="Times New Roman" w:cs="Times New Roman"/>
                <w:bCs/>
                <w:lang w:val="it-IT"/>
              </w:rPr>
              <w:t>4.649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3.319,2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3.645,9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</w:rPr>
            </w:pPr>
            <w:r w:rsidRPr="003E1444">
              <w:rPr>
                <w:rFonts w:ascii="Times New Roman" w:hAnsi="Times New Roman" w:cs="Times New Roman"/>
                <w:iCs/>
              </w:rPr>
              <w:t>3.051,2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2.459,6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lang w:val="it-IT"/>
              </w:rPr>
            </w:pPr>
            <w:r w:rsidRPr="003E1444">
              <w:rPr>
                <w:rFonts w:ascii="Times New Roman" w:hAnsi="Times New Roman" w:cs="Times New Roman"/>
                <w:iCs/>
                <w:lang w:val="it-IT"/>
              </w:rPr>
              <w:t>-</w:t>
            </w:r>
          </w:p>
        </w:tc>
      </w:tr>
    </w:tbl>
    <w:p w:rsidR="00F71F22" w:rsidRPr="003E1444" w:rsidRDefault="00F71F22" w:rsidP="00F71F22">
      <w:pPr>
        <w:pStyle w:val="Corpodeltesto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proofErr w:type="gramStart"/>
      <w:r w:rsidRPr="003E1444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  <w:proofErr w:type="gramEnd"/>
    </w:p>
    <w:p w:rsidR="00F71F22" w:rsidRPr="003E1444" w:rsidRDefault="00F71F22" w:rsidP="00F71F22">
      <w:pPr>
        <w:pStyle w:val="Corpodel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sz w:val="24"/>
          <w:szCs w:val="24"/>
        </w:rPr>
        <w:t xml:space="preserve">Tra i Paesi fornitori, </w:t>
      </w:r>
      <w:r w:rsidRPr="003E1444">
        <w:rPr>
          <w:rFonts w:ascii="Times New Roman" w:hAnsi="Times New Roman" w:cs="Times New Roman"/>
          <w:sz w:val="24"/>
          <w:szCs w:val="24"/>
        </w:rPr>
        <w:t xml:space="preserve">in prima posizione nella graduatoria si conferma la Germania, seguita dalla Repubblica Ceca, Cina, Corea del Sud e gli altri Paesi della regione: Polonia, Federazione Russa e Ungheria. </w:t>
      </w:r>
      <w:r w:rsidRPr="003E1444">
        <w:rPr>
          <w:rFonts w:ascii="Times New Roman" w:hAnsi="Times New Roman" w:cs="Times New Roman"/>
          <w:b/>
          <w:sz w:val="24"/>
          <w:szCs w:val="24"/>
        </w:rPr>
        <w:t>L’</w:t>
      </w:r>
      <w:r w:rsidRPr="003E1444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3E1444">
        <w:rPr>
          <w:rFonts w:ascii="Times New Roman" w:hAnsi="Times New Roman" w:cs="Times New Roman"/>
          <w:b/>
          <w:sz w:val="24"/>
          <w:szCs w:val="24"/>
        </w:rPr>
        <w:t xml:space="preserve"> riprende l’ottavo</w:t>
      </w:r>
      <w:r w:rsidRPr="003E1444">
        <w:rPr>
          <w:rFonts w:ascii="Times New Roman" w:hAnsi="Times New Roman" w:cs="Times New Roman"/>
          <w:b/>
          <w:bCs/>
          <w:sz w:val="24"/>
          <w:szCs w:val="24"/>
        </w:rPr>
        <w:t xml:space="preserve"> posto</w:t>
      </w:r>
      <w:r w:rsidRPr="003E1444">
        <w:rPr>
          <w:rFonts w:ascii="Times New Roman" w:hAnsi="Times New Roman" w:cs="Times New Roman"/>
          <w:b/>
          <w:sz w:val="24"/>
          <w:szCs w:val="24"/>
        </w:rPr>
        <w:t xml:space="preserve">, con una quota del 3,4% delle importazioni slovacche e una variazione rispetto allo stesso periodo dell’anno precedente </w:t>
      </w:r>
      <w:proofErr w:type="gramStart"/>
      <w:r w:rsidRPr="003E1444">
        <w:rPr>
          <w:rFonts w:ascii="Times New Roman" w:hAnsi="Times New Roman" w:cs="Times New Roman"/>
          <w:b/>
          <w:sz w:val="24"/>
          <w:szCs w:val="24"/>
        </w:rPr>
        <w:t xml:space="preserve">del </w:t>
      </w:r>
      <w:proofErr w:type="gramEnd"/>
      <w:r w:rsidRPr="003E1444">
        <w:rPr>
          <w:rFonts w:ascii="Times New Roman" w:hAnsi="Times New Roman" w:cs="Times New Roman"/>
          <w:b/>
          <w:sz w:val="24"/>
          <w:szCs w:val="24"/>
        </w:rPr>
        <w:t xml:space="preserve">11,5%. </w:t>
      </w:r>
      <w:r w:rsidRPr="003E1444">
        <w:rPr>
          <w:rFonts w:ascii="Times New Roman" w:hAnsi="Times New Roman" w:cs="Times New Roman"/>
          <w:sz w:val="24"/>
          <w:szCs w:val="24"/>
        </w:rPr>
        <w:t>Dopo di noi la Francia e la confinante Austria.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1F22" w:rsidRPr="003E1444" w:rsidRDefault="00F71F22" w:rsidP="00F71F22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>Importazioni slovacche: Paesi fornitori</w:t>
      </w:r>
    </w:p>
    <w:tbl>
      <w:tblPr>
        <w:tblpPr w:leftFromText="141" w:rightFromText="141" w:vertAnchor="text" w:horzAnchor="margin" w:tblpY="38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4"/>
        <w:gridCol w:w="783"/>
        <w:gridCol w:w="783"/>
        <w:gridCol w:w="783"/>
        <w:gridCol w:w="783"/>
        <w:gridCol w:w="911"/>
        <w:gridCol w:w="992"/>
        <w:gridCol w:w="992"/>
        <w:gridCol w:w="1418"/>
        <w:gridCol w:w="1134"/>
      </w:tblGrid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Var. </w:t>
            </w:r>
          </w:p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 /2017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13.693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7.923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10,2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5,8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5,5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5,3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3.665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4,7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2.599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3,4</w:t>
            </w:r>
          </w:p>
        </w:tc>
      </w:tr>
      <w:tr w:rsidR="00F71F22" w:rsidRPr="003E1444" w:rsidTr="00140666">
        <w:trPr>
          <w:trHeight w:val="19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2.365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3,1</w:t>
            </w:r>
          </w:p>
        </w:tc>
      </w:tr>
      <w:tr w:rsidR="00F71F22" w:rsidRPr="003E1444" w:rsidTr="00140666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1.361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1.535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1.530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1.620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2.349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3,0</w:t>
            </w:r>
          </w:p>
        </w:tc>
      </w:tr>
    </w:tbl>
    <w:p w:rsidR="00F71F22" w:rsidRPr="003E1444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F71F22" w:rsidRPr="003E1444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  <w:proofErr w:type="gramStart"/>
      <w:r w:rsidRPr="003E1444">
        <w:rPr>
          <w:noProof w:val="0"/>
          <w:sz w:val="20"/>
          <w:szCs w:val="20"/>
        </w:rPr>
        <w:t>FONTE: elaborazione Ambasciata d’Italia su dati dell’Istituto Statistico della Repubblica Slovacca</w:t>
      </w:r>
      <w:proofErr w:type="gramEnd"/>
    </w:p>
    <w:p w:rsidR="00F71F22" w:rsidRPr="003E1444" w:rsidRDefault="00F71F22" w:rsidP="00F71F22">
      <w:pPr>
        <w:pStyle w:val="Corpodeltesto2"/>
        <w:rPr>
          <w:rFonts w:ascii="Times New Roman" w:hAnsi="Times New Roman" w:cs="Times New Roman"/>
          <w:b/>
          <w:lang w:val="it-IT"/>
        </w:rPr>
      </w:pPr>
    </w:p>
    <w:p w:rsidR="00F71F22" w:rsidRPr="003E1444" w:rsidRDefault="00F71F22" w:rsidP="00F71F22">
      <w:pPr>
        <w:pStyle w:val="Corpodeltesto2"/>
        <w:rPr>
          <w:rFonts w:ascii="Times New Roman" w:hAnsi="Times New Roman" w:cs="Times New Roman"/>
          <w:lang w:val="it-IT"/>
        </w:rPr>
      </w:pPr>
      <w:r w:rsidRPr="003E1444">
        <w:rPr>
          <w:rFonts w:ascii="Times New Roman" w:hAnsi="Times New Roman" w:cs="Times New Roman"/>
          <w:b/>
          <w:lang w:val="it-IT"/>
        </w:rPr>
        <w:t xml:space="preserve">Tra i Paesi clienti, nel 2018 </w:t>
      </w:r>
      <w:r w:rsidRPr="003E1444">
        <w:rPr>
          <w:rFonts w:ascii="Times New Roman" w:hAnsi="Times New Roman" w:cs="Times New Roman"/>
          <w:lang w:val="it-IT"/>
        </w:rPr>
        <w:t xml:space="preserve">il principale mercato di sbocco delle esportazioni slovacche si è confermato essere la Germania (con una </w:t>
      </w:r>
      <w:proofErr w:type="gramStart"/>
      <w:r w:rsidRPr="003E1444">
        <w:rPr>
          <w:rFonts w:ascii="Times New Roman" w:hAnsi="Times New Roman" w:cs="Times New Roman"/>
          <w:lang w:val="it-IT"/>
        </w:rPr>
        <w:t>significativa</w:t>
      </w:r>
      <w:proofErr w:type="gramEnd"/>
      <w:r w:rsidRPr="003E1444">
        <w:rPr>
          <w:rFonts w:ascii="Times New Roman" w:hAnsi="Times New Roman" w:cs="Times New Roman"/>
          <w:lang w:val="it-IT"/>
        </w:rPr>
        <w:t xml:space="preserve"> quota del 22,2% sul totale), con un aumento di ordini del 14,9% rispetto allo stesso periodo del 2017, seguita da Repubblica Ceca, Polonia e Francia. </w:t>
      </w:r>
      <w:r w:rsidRPr="003E1444">
        <w:rPr>
          <w:rFonts w:ascii="Times New Roman" w:hAnsi="Times New Roman" w:cs="Times New Roman"/>
          <w:b/>
          <w:lang w:val="it-IT"/>
        </w:rPr>
        <w:t>L´Italia si colloca in quinta posizione</w:t>
      </w:r>
      <w:r w:rsidRPr="003E1444">
        <w:rPr>
          <w:rFonts w:ascii="Times New Roman" w:hAnsi="Times New Roman" w:cs="Times New Roman"/>
          <w:lang w:val="it-IT"/>
        </w:rPr>
        <w:t xml:space="preserve">, </w:t>
      </w:r>
      <w:r w:rsidRPr="003E1444">
        <w:rPr>
          <w:rFonts w:ascii="Times New Roman" w:hAnsi="Times New Roman" w:cs="Times New Roman"/>
          <w:b/>
          <w:lang w:val="it-IT"/>
        </w:rPr>
        <w:t xml:space="preserve">con una quota del 5,7% delle esportazioni slovacche </w:t>
      </w:r>
      <w:proofErr w:type="gramStart"/>
      <w:r w:rsidRPr="003E1444">
        <w:rPr>
          <w:rFonts w:ascii="Times New Roman" w:hAnsi="Times New Roman" w:cs="Times New Roman"/>
          <w:b/>
          <w:lang w:val="it-IT"/>
        </w:rPr>
        <w:t>ed</w:t>
      </w:r>
      <w:proofErr w:type="gramEnd"/>
      <w:r w:rsidRPr="003E1444">
        <w:rPr>
          <w:rFonts w:ascii="Times New Roman" w:hAnsi="Times New Roman" w:cs="Times New Roman"/>
          <w:b/>
          <w:lang w:val="it-IT"/>
        </w:rPr>
        <w:t xml:space="preserve"> un aumento delle stesse del 1,6%.</w:t>
      </w:r>
      <w:r w:rsidRPr="003E1444">
        <w:rPr>
          <w:rFonts w:ascii="Times New Roman" w:hAnsi="Times New Roman" w:cs="Times New Roman"/>
          <w:lang w:val="it-IT"/>
        </w:rPr>
        <w:t xml:space="preserve"> Seguono Austria, Ungheria, Regno Unito, Spagna e Paesi Bassi. </w:t>
      </w:r>
    </w:p>
    <w:p w:rsidR="00F71F22" w:rsidRPr="003E1444" w:rsidRDefault="00F71F22" w:rsidP="00F71F22">
      <w:pPr>
        <w:pStyle w:val="Titolo4"/>
        <w:tabs>
          <w:tab w:val="left" w:pos="0"/>
          <w:tab w:val="left" w:pos="1080"/>
        </w:tabs>
        <w:rPr>
          <w:rFonts w:ascii="Times New Roman" w:hAnsi="Times New Roman" w:cs="Times New Roman"/>
          <w:lang w:val="it-IT"/>
        </w:rPr>
      </w:pPr>
    </w:p>
    <w:p w:rsidR="00F71F22" w:rsidRPr="003E1444" w:rsidRDefault="00F71F22" w:rsidP="00F71F22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3E1444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11"/>
        <w:gridCol w:w="711"/>
        <w:gridCol w:w="711"/>
        <w:gridCol w:w="711"/>
        <w:gridCol w:w="711"/>
        <w:gridCol w:w="1122"/>
        <w:gridCol w:w="851"/>
        <w:gridCol w:w="1417"/>
        <w:gridCol w:w="1134"/>
      </w:tblGrid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Enfasigrassetto"/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Enfasigrassetto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Enfasigrassetto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F71F22" w:rsidRPr="003E1444" w:rsidRDefault="00F71F22" w:rsidP="00140666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3E1444">
              <w:rPr>
                <w:rStyle w:val="Enfasigrassetto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F71F22" w:rsidRPr="003E1444" w:rsidRDefault="00F71F22" w:rsidP="00140666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Var. </w:t>
            </w:r>
          </w:p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 /2017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F71F22" w:rsidRPr="003E1444" w:rsidTr="00140666">
        <w:trPr>
          <w:trHeight w:val="70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17.716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6.046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7,6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5.038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6,3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5,7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Austria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4.470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4.423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5,5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2.490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4.166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5,2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2.259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2,8</w:t>
            </w:r>
          </w:p>
        </w:tc>
      </w:tr>
      <w:tr w:rsidR="00F71F22" w:rsidRPr="003E1444" w:rsidTr="00140666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Paesi Bassi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1.418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1.496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1.643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1.662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2.027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1.914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1.743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-8,9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eastAsia="Arial Unicode MS" w:hAnsi="Times New Roman" w:cs="Times New Roman"/>
                <w:sz w:val="20"/>
                <w:szCs w:val="20"/>
              </w:rPr>
              <w:t>2,2</w:t>
            </w:r>
          </w:p>
        </w:tc>
      </w:tr>
    </w:tbl>
    <w:p w:rsidR="00F71F22" w:rsidRPr="003E1444" w:rsidRDefault="00F71F22" w:rsidP="00F71F22">
      <w:pPr>
        <w:pStyle w:val="Didascalia"/>
        <w:tabs>
          <w:tab w:val="num" w:pos="0"/>
        </w:tabs>
        <w:rPr>
          <w:noProof w:val="0"/>
          <w:sz w:val="16"/>
          <w:szCs w:val="16"/>
        </w:rPr>
      </w:pPr>
      <w:proofErr w:type="gramStart"/>
      <w:r w:rsidRPr="003E1444">
        <w:rPr>
          <w:noProof w:val="0"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F71F22" w:rsidRPr="003E1444" w:rsidRDefault="00F71F22" w:rsidP="00F71F22">
      <w:pPr>
        <w:pStyle w:val="Corpodeltesto2"/>
        <w:spacing w:line="260" w:lineRule="exact"/>
        <w:rPr>
          <w:rFonts w:ascii="Times New Roman" w:hAnsi="Times New Roman" w:cs="Times New Roman"/>
          <w:lang w:val="it-IT"/>
        </w:rPr>
      </w:pP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sz w:val="24"/>
          <w:szCs w:val="24"/>
        </w:rPr>
        <w:t>Nel 2018</w:t>
      </w:r>
      <w:r w:rsidRPr="003E1444">
        <w:rPr>
          <w:rFonts w:ascii="Times New Roman" w:hAnsi="Times New Roman" w:cs="Times New Roman"/>
          <w:sz w:val="24"/>
          <w:szCs w:val="24"/>
        </w:rPr>
        <w:t xml:space="preserve"> si sono confermati al primo posto delle </w:t>
      </w:r>
      <w:r w:rsidRPr="003E1444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3E1444">
        <w:rPr>
          <w:rFonts w:ascii="Times New Roman" w:hAnsi="Times New Roman" w:cs="Times New Roman"/>
          <w:sz w:val="24"/>
          <w:szCs w:val="24"/>
        </w:rPr>
        <w:t xml:space="preserve"> i macchinari e veicoli, registrando un aumento </w:t>
      </w:r>
      <w:proofErr w:type="gramStart"/>
      <w:r w:rsidRPr="003E1444">
        <w:rPr>
          <w:rFonts w:ascii="Times New Roman" w:hAnsi="Times New Roman" w:cs="Times New Roman"/>
          <w:sz w:val="24"/>
          <w:szCs w:val="24"/>
        </w:rPr>
        <w:t>dell’11,3%</w:t>
      </w:r>
      <w:proofErr w:type="gramEnd"/>
      <w:r w:rsidRPr="003E1444">
        <w:rPr>
          <w:rFonts w:ascii="Times New Roman" w:hAnsi="Times New Roman" w:cs="Times New Roman"/>
          <w:sz w:val="24"/>
          <w:szCs w:val="24"/>
        </w:rPr>
        <w:t xml:space="preserve">, seguiti dai beni di consumo (6,5%) e dai prodotti industriali (0,7%). Le importazioni dei combustibili, alla quarta posizione, sono aumentate del 10,1%, seguite, in quinta posizione, dai prodotti chimici (1,2 % rispetto allo stesso periodo dell’anno precedente) e dai prodotti alimentari (4,5%) in sesta posizione. Il settimo posto è occupato dalle materie prime (in aumento del 6,0%) e dalle bevande, in 8° posizione, con un aumento del 16,9% e la nona posizione dagli oli e grassi, con una diminuzione delle importazioni rispetto all’anno precedente, </w:t>
      </w:r>
      <w:proofErr w:type="gramStart"/>
      <w:r w:rsidRPr="003E1444">
        <w:rPr>
          <w:rFonts w:ascii="Times New Roman" w:hAnsi="Times New Roman" w:cs="Times New Roman"/>
          <w:sz w:val="24"/>
          <w:szCs w:val="24"/>
        </w:rPr>
        <w:t>dell’8,1%</w:t>
      </w:r>
      <w:proofErr w:type="gramEnd"/>
      <w:r w:rsidRPr="003E1444">
        <w:rPr>
          <w:rFonts w:ascii="Times New Roman" w:hAnsi="Times New Roman" w:cs="Times New Roman"/>
          <w:sz w:val="24"/>
          <w:szCs w:val="24"/>
        </w:rPr>
        <w:t xml:space="preserve">. Le </w:t>
      </w:r>
      <w:r w:rsidRPr="003E1444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3E1444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</w:t>
      </w:r>
      <w:proofErr w:type="gramStart"/>
      <w:r w:rsidRPr="003E1444">
        <w:rPr>
          <w:rFonts w:ascii="Times New Roman" w:hAnsi="Times New Roman" w:cs="Times New Roman"/>
          <w:sz w:val="24"/>
          <w:szCs w:val="24"/>
        </w:rPr>
        <w:t xml:space="preserve">del </w:t>
      </w:r>
      <w:proofErr w:type="gramEnd"/>
      <w:r w:rsidRPr="003E1444">
        <w:rPr>
          <w:rFonts w:ascii="Times New Roman" w:hAnsi="Times New Roman" w:cs="Times New Roman"/>
          <w:sz w:val="24"/>
          <w:szCs w:val="24"/>
        </w:rPr>
        <w:t xml:space="preserve">8,9% rispetto al 2017, seguite dai beni di consumo alla seconda posizione (5,0%) e dai prodotti industriali alla terza, registrando un aumento del 7,0%. Al quarto posto si </w:t>
      </w:r>
      <w:proofErr w:type="gramStart"/>
      <w:r w:rsidRPr="003E1444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3E1444">
        <w:rPr>
          <w:rFonts w:ascii="Times New Roman" w:hAnsi="Times New Roman" w:cs="Times New Roman"/>
          <w:sz w:val="24"/>
          <w:szCs w:val="24"/>
        </w:rPr>
        <w:t xml:space="preserve"> i prodotti chimici (in aumento 3,7%), al quinto i combustibili (in calo del 9,1%). In sesta posizione si confermano i prodotti alimentari (-2,8%), seguiti dalle materie prime in crescita del 10,9%, dalle bevande (26,8%) e dagli oli e grassi (-14,8%).</w:t>
      </w:r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3E1444" w:rsidRDefault="00F71F22" w:rsidP="00F71F22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3E1444">
        <w:rPr>
          <w:rFonts w:ascii="Times New Roman" w:hAnsi="Times New Roman" w:cs="Times New Roman"/>
          <w:sz w:val="24"/>
          <w:szCs w:val="24"/>
        </w:rPr>
        <w:t xml:space="preserve"> (</w:t>
      </w:r>
      <w:r w:rsidRPr="003E1444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3E144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8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26"/>
        <w:gridCol w:w="872"/>
        <w:gridCol w:w="873"/>
        <w:gridCol w:w="873"/>
        <w:gridCol w:w="873"/>
        <w:gridCol w:w="871"/>
        <w:gridCol w:w="1123"/>
        <w:gridCol w:w="898"/>
        <w:gridCol w:w="1560"/>
      </w:tblGrid>
      <w:tr w:rsidR="00F71F22" w:rsidRPr="003E1444" w:rsidTr="00140666">
        <w:trPr>
          <w:trHeight w:val="405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F71F22" w:rsidRPr="003E1444" w:rsidRDefault="00F71F22" w:rsidP="00140666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2018 / 2017 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37.678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11.623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</w:tr>
      <w:tr w:rsidR="00F71F22" w:rsidRPr="003E1444" w:rsidTr="00140666">
        <w:trPr>
          <w:trHeight w:val="99"/>
        </w:trPr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8.311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6.834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10,1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6.347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3.530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2.056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16,9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-8,1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-5,1</w:t>
            </w:r>
          </w:p>
        </w:tc>
      </w:tr>
      <w:tr w:rsidR="00F71F22" w:rsidRPr="003E1444" w:rsidTr="00140666"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77.326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7,8</w:t>
            </w:r>
          </w:p>
        </w:tc>
      </w:tr>
    </w:tbl>
    <w:p w:rsidR="00F71F22" w:rsidRPr="003E1444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3E1444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F71F22" w:rsidRPr="003E1444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3E1444" w:rsidRDefault="00F71F22" w:rsidP="00F71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E1444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3E1444">
        <w:rPr>
          <w:rFonts w:ascii="Times New Roman" w:hAnsi="Times New Roman" w:cs="Times New Roman"/>
          <w:sz w:val="24"/>
          <w:szCs w:val="24"/>
        </w:rPr>
        <w:t xml:space="preserve"> (</w:t>
      </w:r>
      <w:r w:rsidRPr="003E1444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3E144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06"/>
        <w:gridCol w:w="918"/>
        <w:gridCol w:w="917"/>
        <w:gridCol w:w="792"/>
        <w:gridCol w:w="972"/>
        <w:gridCol w:w="834"/>
        <w:gridCol w:w="1112"/>
        <w:gridCol w:w="855"/>
        <w:gridCol w:w="1561"/>
      </w:tblGrid>
      <w:tr w:rsidR="00F71F22" w:rsidRPr="003E1444" w:rsidTr="00140666">
        <w:trPr>
          <w:trHeight w:val="20"/>
        </w:trPr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F71F22" w:rsidRPr="003E1444" w:rsidRDefault="00F71F22" w:rsidP="00140666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2018 / 2017 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3E1444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48.288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13.332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7.529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3.358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3.066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-9,1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alimentari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2.313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-2,8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1.517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10,9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26,8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-14,8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sz w:val="20"/>
                <w:szCs w:val="20"/>
              </w:rPr>
              <w:t>19,5</w:t>
            </w:r>
          </w:p>
        </w:tc>
      </w:tr>
      <w:tr w:rsidR="00F71F22" w:rsidRPr="003E1444" w:rsidTr="00140666"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79.786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22" w:rsidRPr="003E1444" w:rsidRDefault="00F71F22" w:rsidP="00140666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444">
              <w:rPr>
                <w:rFonts w:ascii="Times New Roman" w:hAnsi="Times New Roman" w:cs="Times New Roman"/>
                <w:b/>
                <w:sz w:val="20"/>
                <w:szCs w:val="20"/>
              </w:rPr>
              <w:t>6,7</w:t>
            </w:r>
          </w:p>
        </w:tc>
      </w:tr>
    </w:tbl>
    <w:p w:rsidR="00F71F22" w:rsidRPr="003E1444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3E1444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73945" w:rsidRPr="00C300D1" w:rsidRDefault="00D73945" w:rsidP="003E144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Elaborazione Ufficio commerciale A</w:t>
      </w:r>
      <w:r w:rsidR="00B34BAA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Bratislava (</w:t>
      </w:r>
      <w:r w:rsidR="00F71F22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aprile 2019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283"/>
  <w:characterSpacingControl w:val="doNotCompress"/>
  <w:compat/>
  <w:rsids>
    <w:rsidRoot w:val="00D73945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17B29"/>
    <w:rsid w:val="001579E6"/>
    <w:rsid w:val="001600A7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D3048"/>
    <w:rsid w:val="003218B5"/>
    <w:rsid w:val="00362E1A"/>
    <w:rsid w:val="003B129B"/>
    <w:rsid w:val="003C7C38"/>
    <w:rsid w:val="003C7C58"/>
    <w:rsid w:val="003E01B1"/>
    <w:rsid w:val="003E1444"/>
    <w:rsid w:val="00404AB7"/>
    <w:rsid w:val="00461212"/>
    <w:rsid w:val="00463449"/>
    <w:rsid w:val="00486D74"/>
    <w:rsid w:val="004903AE"/>
    <w:rsid w:val="004B47D3"/>
    <w:rsid w:val="004C6B49"/>
    <w:rsid w:val="004C78CE"/>
    <w:rsid w:val="004E347D"/>
    <w:rsid w:val="004E4ECD"/>
    <w:rsid w:val="00501118"/>
    <w:rsid w:val="00524369"/>
    <w:rsid w:val="00540726"/>
    <w:rsid w:val="00542BE0"/>
    <w:rsid w:val="00561196"/>
    <w:rsid w:val="0057395E"/>
    <w:rsid w:val="005A3E13"/>
    <w:rsid w:val="005B4E9C"/>
    <w:rsid w:val="00601FC8"/>
    <w:rsid w:val="0061108E"/>
    <w:rsid w:val="00633391"/>
    <w:rsid w:val="00636603"/>
    <w:rsid w:val="00662480"/>
    <w:rsid w:val="006719BC"/>
    <w:rsid w:val="00687B18"/>
    <w:rsid w:val="00694F3C"/>
    <w:rsid w:val="00710A71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9F0405"/>
    <w:rsid w:val="00A45EA6"/>
    <w:rsid w:val="00A54DCB"/>
    <w:rsid w:val="00AD4F6F"/>
    <w:rsid w:val="00B3093A"/>
    <w:rsid w:val="00B34BAA"/>
    <w:rsid w:val="00B37F8A"/>
    <w:rsid w:val="00B563E4"/>
    <w:rsid w:val="00B600B9"/>
    <w:rsid w:val="00B66A64"/>
    <w:rsid w:val="00BC6FE5"/>
    <w:rsid w:val="00C02E67"/>
    <w:rsid w:val="00C1691D"/>
    <w:rsid w:val="00C300D1"/>
    <w:rsid w:val="00C315C3"/>
    <w:rsid w:val="00C4327A"/>
    <w:rsid w:val="00C92F28"/>
    <w:rsid w:val="00CA64DF"/>
    <w:rsid w:val="00D32B09"/>
    <w:rsid w:val="00D408AC"/>
    <w:rsid w:val="00D47B44"/>
    <w:rsid w:val="00D70A55"/>
    <w:rsid w:val="00D73945"/>
    <w:rsid w:val="00D77CA0"/>
    <w:rsid w:val="00D83EB7"/>
    <w:rsid w:val="00DE7132"/>
    <w:rsid w:val="00DF4ADE"/>
    <w:rsid w:val="00E25918"/>
    <w:rsid w:val="00E9105B"/>
    <w:rsid w:val="00EE0760"/>
    <w:rsid w:val="00F0471D"/>
    <w:rsid w:val="00F20D65"/>
    <w:rsid w:val="00F53DF7"/>
    <w:rsid w:val="00F649D9"/>
    <w:rsid w:val="00F71F22"/>
    <w:rsid w:val="00F960AB"/>
    <w:rsid w:val="00FB3BC4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deltesto">
    <w:name w:val="Body Text"/>
    <w:aliases w:val="Body Text Char,Body Text(ch),正文文本,Carattere"/>
    <w:basedOn w:val="Normale"/>
    <w:link w:val="Corpodel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deltestoCarattere">
    <w:name w:val="Corpo del testo Carattere"/>
    <w:aliases w:val="Body Text Char Carattere,Body Text(ch) Carattere,正文文本 Carattere,Carattere Carattere"/>
    <w:basedOn w:val="Carpredefinitoparagrafo"/>
    <w:link w:val="Corpodel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uiPriority w:val="22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73945"/>
    <w:rPr>
      <w:rFonts w:ascii="Cambria" w:eastAsia="Times New Roman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D98D7-DE7B-4FCC-A25E-C5AE8B762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2019-04-04T10:12:00Z</dcterms:created>
  <dcterms:modified xsi:type="dcterms:W3CDTF">2019-04-04T10:12:00Z</dcterms:modified>
</cp:coreProperties>
</file>