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59C" w:rsidRDefault="00B3559C" w:rsidP="00B3559C">
      <w:pPr>
        <w:pStyle w:val="Titolo"/>
        <w:spacing w:before="0" w:after="0" w:line="240" w:lineRule="auto"/>
        <w:jc w:val="left"/>
        <w:rPr>
          <w:rFonts w:ascii="Times New Roman" w:hAnsi="Times New Roman" w:cs="Times New Roman"/>
          <w:iCs/>
          <w:sz w:val="24"/>
          <w:szCs w:val="24"/>
        </w:rPr>
      </w:pPr>
      <w:r w:rsidRPr="00B3559C">
        <w:rPr>
          <w:rFonts w:ascii="Times New Roman" w:hAnsi="Times New Roman" w:cs="Times New Roman"/>
          <w:iCs/>
          <w:sz w:val="24"/>
          <w:szCs w:val="24"/>
        </w:rPr>
        <w:t>COMMERCIO ESTERO</w:t>
      </w:r>
    </w:p>
    <w:p w:rsidR="00B3559C" w:rsidRPr="00B3559C" w:rsidRDefault="00B3559C" w:rsidP="00B3559C"/>
    <w:p w:rsidR="00B3559C" w:rsidRPr="00B3559C" w:rsidRDefault="00B3559C" w:rsidP="00B355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B3559C">
        <w:rPr>
          <w:rFonts w:ascii="Times New Roman" w:hAnsi="Times New Roman" w:cs="Times New Roman"/>
          <w:sz w:val="24"/>
          <w:szCs w:val="24"/>
          <w:lang w:eastAsia="it-IT"/>
        </w:rPr>
        <w:t xml:space="preserve">Nel 2017 </w:t>
      </w:r>
      <w:r w:rsidRPr="00B3559C">
        <w:rPr>
          <w:rFonts w:ascii="Times New Roman" w:hAnsi="Times New Roman" w:cs="Times New Roman"/>
          <w:b/>
          <w:sz w:val="24"/>
          <w:szCs w:val="24"/>
          <w:lang w:eastAsia="it-IT"/>
        </w:rPr>
        <w:t>l’</w:t>
      </w:r>
      <w:proofErr w:type="gramStart"/>
      <w:r w:rsidRPr="00B3559C">
        <w:rPr>
          <w:rFonts w:ascii="Times New Roman" w:hAnsi="Times New Roman" w:cs="Times New Roman"/>
          <w:b/>
          <w:sz w:val="24"/>
          <w:szCs w:val="24"/>
          <w:lang w:eastAsia="it-IT"/>
        </w:rPr>
        <w:t>interscambio</w:t>
      </w:r>
      <w:proofErr w:type="gramEnd"/>
      <w:r w:rsidRPr="00B3559C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commerciale</w:t>
      </w:r>
      <w:r w:rsidRPr="00B3559C">
        <w:rPr>
          <w:rFonts w:ascii="Times New Roman" w:hAnsi="Times New Roman" w:cs="Times New Roman"/>
          <w:sz w:val="24"/>
          <w:szCs w:val="24"/>
          <w:lang w:eastAsia="it-IT"/>
        </w:rPr>
        <w:t xml:space="preserve"> della Slovacchia ha proseguito nel suo trend positivo. Le esportazioni di Bratislava sono ammontate nel 2017 a 74.813,3</w:t>
      </w:r>
      <w:proofErr w:type="gramStart"/>
      <w:r w:rsidRPr="00B3559C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proofErr w:type="spellStart"/>
      <w:proofErr w:type="gramEnd"/>
      <w:r w:rsidRPr="00B3559C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B3559C">
        <w:rPr>
          <w:rFonts w:ascii="Times New Roman" w:hAnsi="Times New Roman" w:cs="Times New Roman"/>
          <w:sz w:val="24"/>
          <w:szCs w:val="24"/>
          <w:lang w:eastAsia="it-IT"/>
        </w:rPr>
        <w:t xml:space="preserve"> di € (+6,8% rispetto al 2016), mentre le importazioni sono risultate pari a 71.817,2 </w:t>
      </w:r>
      <w:proofErr w:type="spellStart"/>
      <w:r w:rsidRPr="00B3559C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B3559C">
        <w:rPr>
          <w:rFonts w:ascii="Times New Roman" w:hAnsi="Times New Roman" w:cs="Times New Roman"/>
          <w:sz w:val="24"/>
          <w:szCs w:val="24"/>
          <w:lang w:eastAsia="it-IT"/>
        </w:rPr>
        <w:t xml:space="preserve"> di € (+8,2% rispetto all’anno precedente), registrando un surplus della bilancia commerciale slovacca di  2.996,1 miliardi di Euro. </w:t>
      </w:r>
    </w:p>
    <w:p w:rsidR="00B3559C" w:rsidRPr="00B3559C" w:rsidRDefault="00B3559C" w:rsidP="00B3559C">
      <w:pPr>
        <w:pStyle w:val="BodyTextChar"/>
        <w:tabs>
          <w:tab w:val="num" w:pos="0"/>
        </w:tabs>
        <w:rPr>
          <w:rFonts w:ascii="Times New Roman" w:hAnsi="Times New Roman" w:cs="Times New Roman"/>
          <w:b/>
          <w:lang w:val="it-IT"/>
        </w:rPr>
      </w:pPr>
    </w:p>
    <w:p w:rsidR="00B3559C" w:rsidRPr="00B3559C" w:rsidRDefault="00B3559C" w:rsidP="00B3559C">
      <w:pPr>
        <w:pStyle w:val="BodyTextChar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B3559C">
        <w:rPr>
          <w:rFonts w:ascii="Times New Roman" w:hAnsi="Times New Roman" w:cs="Times New Roman"/>
          <w:b/>
          <w:lang w:val="it-IT"/>
        </w:rPr>
        <w:t>Bilancia commerciale slovacca</w:t>
      </w:r>
    </w:p>
    <w:tbl>
      <w:tblPr>
        <w:tblW w:w="8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850"/>
        <w:gridCol w:w="850"/>
        <w:gridCol w:w="850"/>
        <w:gridCol w:w="993"/>
        <w:gridCol w:w="993"/>
        <w:gridCol w:w="992"/>
        <w:gridCol w:w="1418"/>
      </w:tblGrid>
      <w:tr w:rsidR="00B3559C" w:rsidRPr="00B3559C" w:rsidTr="00652A8F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Euro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lang w:val="it-IT"/>
              </w:rPr>
              <w:t>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lang w:val="it-IT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left" w:pos="180"/>
                <w:tab w:val="center" w:pos="426"/>
              </w:tabs>
              <w:rPr>
                <w:rFonts w:ascii="Times New Roman" w:hAnsi="Times New Roman" w:cs="Times New Roman"/>
                <w:b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</w:r>
            <w:r w:rsidRPr="00B3559C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lang w:val="it-IT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Variazione 2017/2016</w:t>
            </w:r>
          </w:p>
        </w:tc>
      </w:tr>
      <w:tr w:rsidR="00B3559C" w:rsidRPr="00B3559C" w:rsidTr="00652A8F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lang w:val="it-IT"/>
              </w:rPr>
              <w:t>Import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B3559C">
              <w:rPr>
                <w:rFonts w:ascii="Times New Roman" w:hAnsi="Times New Roman" w:cs="Times New Roman"/>
                <w:bCs/>
                <w:lang w:val="it-IT"/>
              </w:rPr>
              <w:t>58.588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59.940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B3559C">
              <w:rPr>
                <w:rFonts w:ascii="Times New Roman" w:hAnsi="Times New Roman" w:cs="Times New Roman"/>
                <w:bCs/>
                <w:lang w:val="it-IT"/>
              </w:rPr>
              <w:t>60.152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64.360,7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66.386,3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B3559C">
              <w:rPr>
                <w:rFonts w:ascii="Times New Roman" w:hAnsi="Times New Roman" w:cs="Times New Roman"/>
                <w:iCs/>
              </w:rPr>
              <w:t>71.817,2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8,2</w:t>
            </w:r>
          </w:p>
        </w:tc>
      </w:tr>
      <w:tr w:rsidR="00B3559C" w:rsidRPr="00B3559C" w:rsidTr="00652A8F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lang w:val="it-IT"/>
              </w:rPr>
              <w:t>Export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B3559C">
              <w:rPr>
                <w:rFonts w:ascii="Times New Roman" w:hAnsi="Times New Roman" w:cs="Times New Roman"/>
                <w:bCs/>
                <w:lang w:val="it-IT"/>
              </w:rPr>
              <w:t>62.144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64.172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B3559C">
              <w:rPr>
                <w:rFonts w:ascii="Times New Roman" w:hAnsi="Times New Roman" w:cs="Times New Roman"/>
                <w:bCs/>
                <w:lang w:val="it-IT"/>
              </w:rPr>
              <w:t>64.801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67.679,9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70.032,2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fr-FR"/>
              </w:rPr>
            </w:pPr>
            <w:r w:rsidRPr="00B3559C">
              <w:rPr>
                <w:rFonts w:ascii="Times New Roman" w:hAnsi="Times New Roman" w:cs="Times New Roman"/>
                <w:iCs/>
                <w:lang w:val="fr-FR"/>
              </w:rPr>
              <w:t>74.813,3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6,8</w:t>
            </w:r>
          </w:p>
        </w:tc>
      </w:tr>
      <w:tr w:rsidR="00B3559C" w:rsidRPr="00B3559C" w:rsidTr="00652A8F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rPr>
                <w:rFonts w:ascii="Times New Roman" w:hAnsi="Times New Roman" w:cs="Times New Roman"/>
                <w:b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lang w:val="it-IT"/>
              </w:rPr>
              <w:t>Saldo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B3559C">
              <w:rPr>
                <w:rFonts w:ascii="Times New Roman" w:hAnsi="Times New Roman" w:cs="Times New Roman"/>
                <w:bCs/>
                <w:lang w:val="it-IT"/>
              </w:rPr>
              <w:t>3.556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4.232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B3559C">
              <w:rPr>
                <w:rFonts w:ascii="Times New Roman" w:hAnsi="Times New Roman" w:cs="Times New Roman"/>
                <w:bCs/>
                <w:lang w:val="it-IT"/>
              </w:rPr>
              <w:t>4.649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3.319,2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3.645,9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B3559C">
              <w:rPr>
                <w:rFonts w:ascii="Times New Roman" w:hAnsi="Times New Roman" w:cs="Times New Roman"/>
                <w:iCs/>
              </w:rPr>
              <w:t>2.996,1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B3559C">
              <w:rPr>
                <w:rFonts w:ascii="Times New Roman" w:hAnsi="Times New Roman" w:cs="Times New Roman"/>
                <w:iCs/>
                <w:lang w:val="it-IT"/>
              </w:rPr>
              <w:t>-</w:t>
            </w:r>
          </w:p>
        </w:tc>
      </w:tr>
    </w:tbl>
    <w:p w:rsidR="00B3559C" w:rsidRPr="00B3559C" w:rsidRDefault="00B3559C" w:rsidP="00B3559C">
      <w:pPr>
        <w:pStyle w:val="BodyTextChar"/>
        <w:tabs>
          <w:tab w:val="num" w:pos="0"/>
        </w:tabs>
        <w:rPr>
          <w:rFonts w:ascii="Times New Roman" w:hAnsi="Times New Roman" w:cs="Times New Roman"/>
          <w:iCs/>
          <w:sz w:val="20"/>
          <w:szCs w:val="20"/>
          <w:lang w:val="it-IT"/>
        </w:rPr>
      </w:pPr>
      <w:proofErr w:type="gramStart"/>
      <w:r w:rsidRPr="00B3559C">
        <w:rPr>
          <w:rFonts w:ascii="Times New Roman" w:hAnsi="Times New Roman" w:cs="Times New Roman"/>
          <w:i/>
          <w:sz w:val="20"/>
          <w:szCs w:val="20"/>
          <w:lang w:val="it-IT"/>
        </w:rPr>
        <w:t xml:space="preserve">FONTE: elaborazione Ambasciata d’Italia su dati dell’Istituto Statistico della Repubblica Slovacca </w:t>
      </w:r>
      <w:proofErr w:type="gramEnd"/>
    </w:p>
    <w:p w:rsidR="00B3559C" w:rsidRPr="00B3559C" w:rsidRDefault="00B3559C" w:rsidP="00B3559C">
      <w:pPr>
        <w:pStyle w:val="BodyTextChar"/>
        <w:tabs>
          <w:tab w:val="num" w:pos="0"/>
        </w:tabs>
        <w:spacing w:line="260" w:lineRule="exact"/>
        <w:rPr>
          <w:rFonts w:ascii="Times New Roman" w:hAnsi="Times New Roman" w:cs="Times New Roman"/>
          <w:iCs/>
          <w:sz w:val="16"/>
          <w:szCs w:val="16"/>
          <w:lang w:val="it-IT"/>
        </w:rPr>
      </w:pPr>
    </w:p>
    <w:p w:rsidR="00B3559C" w:rsidRPr="00B3559C" w:rsidRDefault="00B3559C" w:rsidP="00B3559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559C">
        <w:rPr>
          <w:rFonts w:ascii="Times New Roman" w:hAnsi="Times New Roman" w:cs="Times New Roman"/>
          <w:b/>
          <w:sz w:val="24"/>
          <w:szCs w:val="24"/>
        </w:rPr>
        <w:t>Tra i Paesi fornitori, nel primo semestre 2017</w:t>
      </w:r>
      <w:r w:rsidRPr="00B3559C">
        <w:rPr>
          <w:rFonts w:ascii="Times New Roman" w:hAnsi="Times New Roman" w:cs="Times New Roman"/>
          <w:sz w:val="24"/>
          <w:szCs w:val="24"/>
        </w:rPr>
        <w:t xml:space="preserve"> in prima posizione nella graduatoria si conferma la Germania, con un incremento delle esportazioni verso la Slovacchia del 4,8% e con una quota di mercato del 16,5%, seguita dalla Repubblica Ceca, che registra un incremento delle proprie esportazioni del 2,5% e quota di mercato del 10,2%, alla terza posizione si colloca la Cina (-7,3%, quota di mercato 7,3%), seguita da Corea 3,0%, quota di mercato 5,7%), Polonia (variazione 6,0%, quota 5,2%), Ungheria (variazione 8,8%, quota 4,8%), Federazione Russa (variazione +24,8%, quota 4,7%</w:t>
      </w:r>
      <w:proofErr w:type="gramStart"/>
      <w:r w:rsidRPr="00B3559C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B3559C">
        <w:rPr>
          <w:rFonts w:ascii="Times New Roman" w:hAnsi="Times New Roman" w:cs="Times New Roman"/>
          <w:sz w:val="24"/>
          <w:szCs w:val="24"/>
        </w:rPr>
        <w:t xml:space="preserve">  </w:t>
      </w:r>
      <w:r w:rsidRPr="00B3559C">
        <w:rPr>
          <w:rFonts w:ascii="Times New Roman" w:hAnsi="Times New Roman" w:cs="Times New Roman"/>
          <w:b/>
          <w:sz w:val="24"/>
          <w:szCs w:val="24"/>
        </w:rPr>
        <w:t>L’</w:t>
      </w:r>
      <w:r w:rsidRPr="00B3559C">
        <w:rPr>
          <w:rFonts w:ascii="Times New Roman" w:hAnsi="Times New Roman" w:cs="Times New Roman"/>
          <w:b/>
          <w:bCs/>
          <w:sz w:val="24"/>
          <w:szCs w:val="24"/>
        </w:rPr>
        <w:t>Italia</w:t>
      </w:r>
      <w:r w:rsidRPr="00B3559C">
        <w:rPr>
          <w:rFonts w:ascii="Times New Roman" w:hAnsi="Times New Roman" w:cs="Times New Roman"/>
          <w:b/>
          <w:sz w:val="24"/>
          <w:szCs w:val="24"/>
        </w:rPr>
        <w:t xml:space="preserve"> riprende l’ottavo</w:t>
      </w:r>
      <w:r w:rsidRPr="00B3559C">
        <w:rPr>
          <w:rFonts w:ascii="Times New Roman" w:hAnsi="Times New Roman" w:cs="Times New Roman"/>
          <w:b/>
          <w:bCs/>
          <w:sz w:val="24"/>
          <w:szCs w:val="24"/>
        </w:rPr>
        <w:t xml:space="preserve"> posto</w:t>
      </w:r>
      <w:r w:rsidRPr="00B3559C">
        <w:rPr>
          <w:rFonts w:ascii="Times New Roman" w:hAnsi="Times New Roman" w:cs="Times New Roman"/>
          <w:b/>
          <w:sz w:val="24"/>
          <w:szCs w:val="24"/>
        </w:rPr>
        <w:t xml:space="preserve">, con una quota del 3,2% delle importazioni slovacche e la variazione rispetto allo stesso periodo dell’anno precedente del 5,2%, </w:t>
      </w:r>
      <w:r w:rsidRPr="00B3559C">
        <w:rPr>
          <w:rFonts w:ascii="Times New Roman" w:hAnsi="Times New Roman" w:cs="Times New Roman"/>
          <w:sz w:val="24"/>
          <w:szCs w:val="24"/>
        </w:rPr>
        <w:t xml:space="preserve">seguita dalla Francia </w:t>
      </w:r>
      <w:r w:rsidRPr="00B3559C">
        <w:rPr>
          <w:rFonts w:ascii="Times New Roman" w:hAnsi="Times New Roman" w:cs="Times New Roman"/>
          <w:bCs/>
          <w:sz w:val="24"/>
          <w:szCs w:val="24"/>
        </w:rPr>
        <w:t xml:space="preserve">(variazione10,2%, quota di mercato 3,2%). Al decimo posto dei principali Paesi fornitori si colloca l’Austria, con un incremento delle esportazioni del 3,0% </w:t>
      </w:r>
      <w:proofErr w:type="gramStart"/>
      <w:r w:rsidRPr="00B3559C">
        <w:rPr>
          <w:rFonts w:ascii="Times New Roman" w:hAnsi="Times New Roman" w:cs="Times New Roman"/>
          <w:bCs/>
          <w:sz w:val="24"/>
          <w:szCs w:val="24"/>
        </w:rPr>
        <w:t>ed</w:t>
      </w:r>
      <w:proofErr w:type="gramEnd"/>
      <w:r w:rsidRPr="00B3559C">
        <w:rPr>
          <w:rFonts w:ascii="Times New Roman" w:hAnsi="Times New Roman" w:cs="Times New Roman"/>
          <w:bCs/>
          <w:sz w:val="24"/>
          <w:szCs w:val="24"/>
        </w:rPr>
        <w:t xml:space="preserve"> una quota di mercato pari all’2,8%.</w:t>
      </w:r>
    </w:p>
    <w:p w:rsidR="00B3559C" w:rsidRPr="00B3559C" w:rsidRDefault="00B3559C" w:rsidP="00B3559C">
      <w:pPr>
        <w:pStyle w:val="BodyTextChar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B3559C">
        <w:rPr>
          <w:rFonts w:ascii="Times New Roman" w:hAnsi="Times New Roman" w:cs="Times New Roman"/>
          <w:b/>
          <w:lang w:val="it-IT"/>
        </w:rPr>
        <w:t>Importazioni slovacche:</w:t>
      </w:r>
      <w:proofErr w:type="gramStart"/>
      <w:r w:rsidRPr="00B3559C">
        <w:rPr>
          <w:rFonts w:ascii="Times New Roman" w:hAnsi="Times New Roman" w:cs="Times New Roman"/>
          <w:b/>
          <w:lang w:val="it-IT"/>
        </w:rPr>
        <w:t xml:space="preserve">  </w:t>
      </w:r>
      <w:proofErr w:type="gramEnd"/>
      <w:r w:rsidRPr="00B3559C">
        <w:rPr>
          <w:rFonts w:ascii="Times New Roman" w:hAnsi="Times New Roman" w:cs="Times New Roman"/>
          <w:b/>
          <w:lang w:val="it-IT"/>
        </w:rPr>
        <w:t>Paesi fornitori</w:t>
      </w:r>
    </w:p>
    <w:tbl>
      <w:tblPr>
        <w:tblpPr w:leftFromText="141" w:rightFromText="141" w:vertAnchor="text" w:horzAnchor="margin" w:tblpY="38"/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4"/>
        <w:gridCol w:w="783"/>
        <w:gridCol w:w="783"/>
        <w:gridCol w:w="783"/>
        <w:gridCol w:w="783"/>
        <w:gridCol w:w="911"/>
        <w:gridCol w:w="992"/>
        <w:gridCol w:w="1276"/>
        <w:gridCol w:w="1134"/>
      </w:tblGrid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Variazione 2017/2016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Germania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9.868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8.947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9.800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11.131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11.835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Rep. Ceca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5.728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6.529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6.285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7.005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7.041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7.339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3.660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4.444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4.645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5.430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5.208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-7,3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7,3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Corea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5.602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5.171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4.379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4.253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3.940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5,7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Polonia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2.169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2.901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2.863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3.173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5,2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Ungheria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2.153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2.667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3.166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3.451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4,8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Fed. Russa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5.933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6.139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4.913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3.486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2.678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4,7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Italia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1.803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1.899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1.916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2.099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3,2</w:t>
            </w:r>
          </w:p>
        </w:tc>
      </w:tr>
      <w:tr w:rsidR="00B3559C" w:rsidRPr="00B3559C" w:rsidTr="00652A8F">
        <w:trPr>
          <w:trHeight w:val="19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1.716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1.801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2.089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2.033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3,2</w:t>
            </w:r>
          </w:p>
        </w:tc>
      </w:tr>
      <w:tr w:rsidR="00B3559C" w:rsidRPr="00B3559C" w:rsidTr="00652A8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1.361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1.535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1.530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1.620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2,8</w:t>
            </w:r>
          </w:p>
        </w:tc>
      </w:tr>
    </w:tbl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20"/>
          <w:szCs w:val="20"/>
        </w:rPr>
      </w:pPr>
      <w:proofErr w:type="gramStart"/>
      <w:r w:rsidRPr="00B3559C">
        <w:rPr>
          <w:noProof w:val="0"/>
          <w:sz w:val="20"/>
          <w:szCs w:val="20"/>
        </w:rPr>
        <w:t>FONTE: elaborazione Ambasciata d’Italia su dati dell’Istituto Statistico della Repubblica Slovacca</w:t>
      </w:r>
      <w:proofErr w:type="gramEnd"/>
    </w:p>
    <w:p w:rsidR="00B3559C" w:rsidRPr="00B3559C" w:rsidRDefault="00B3559C" w:rsidP="00B3559C">
      <w:pPr>
        <w:pStyle w:val="Corpodeltesto2"/>
        <w:spacing w:before="120" w:line="260" w:lineRule="exact"/>
        <w:rPr>
          <w:rFonts w:ascii="Times New Roman" w:hAnsi="Times New Roman" w:cs="Times New Roman"/>
          <w:bCs/>
          <w:u w:val="single"/>
          <w:lang w:val="it-IT"/>
        </w:rPr>
      </w:pPr>
    </w:p>
    <w:p w:rsidR="00B3559C" w:rsidRPr="00B3559C" w:rsidRDefault="00B3559C" w:rsidP="00B3559C">
      <w:pPr>
        <w:pStyle w:val="Corpodeltesto2"/>
        <w:spacing w:before="120" w:line="260" w:lineRule="exact"/>
        <w:rPr>
          <w:rFonts w:ascii="Times New Roman" w:hAnsi="Times New Roman" w:cs="Times New Roman"/>
          <w:bCs/>
          <w:u w:val="single"/>
          <w:lang w:val="it-IT"/>
        </w:rPr>
      </w:pPr>
      <w:r w:rsidRPr="00B3559C">
        <w:rPr>
          <w:rFonts w:ascii="Times New Roman" w:hAnsi="Times New Roman" w:cs="Times New Roman"/>
          <w:bCs/>
          <w:u w:val="single"/>
          <w:lang w:val="it-IT"/>
        </w:rPr>
        <w:t>Principali paesi clienti della Slovacchia</w:t>
      </w:r>
    </w:p>
    <w:p w:rsidR="00B3559C" w:rsidRPr="00B3559C" w:rsidRDefault="00B3559C" w:rsidP="00B3559C">
      <w:pPr>
        <w:pStyle w:val="Corpodeltesto2"/>
        <w:rPr>
          <w:rFonts w:ascii="Times New Roman" w:hAnsi="Times New Roman" w:cs="Times New Roman"/>
          <w:lang w:val="it-IT"/>
        </w:rPr>
      </w:pPr>
      <w:r w:rsidRPr="00B3559C">
        <w:rPr>
          <w:rFonts w:ascii="Times New Roman" w:hAnsi="Times New Roman" w:cs="Times New Roman"/>
          <w:b/>
          <w:lang w:val="it-IT"/>
        </w:rPr>
        <w:t xml:space="preserve">Tra i Paesi clienti, nel primo semestre 2017 </w:t>
      </w:r>
      <w:r w:rsidRPr="00B3559C">
        <w:rPr>
          <w:rFonts w:ascii="Times New Roman" w:hAnsi="Times New Roman" w:cs="Times New Roman"/>
          <w:lang w:val="it-IT"/>
        </w:rPr>
        <w:t xml:space="preserve">il principale mercato di sbocco delle esportazioni slovacche è la Germania, con una </w:t>
      </w:r>
      <w:proofErr w:type="gramStart"/>
      <w:r w:rsidRPr="00B3559C">
        <w:rPr>
          <w:rFonts w:ascii="Times New Roman" w:hAnsi="Times New Roman" w:cs="Times New Roman"/>
          <w:lang w:val="it-IT"/>
        </w:rPr>
        <w:t>significativa</w:t>
      </w:r>
      <w:proofErr w:type="gramEnd"/>
      <w:r w:rsidRPr="00B3559C">
        <w:rPr>
          <w:rFonts w:ascii="Times New Roman" w:hAnsi="Times New Roman" w:cs="Times New Roman"/>
          <w:lang w:val="it-IT"/>
        </w:rPr>
        <w:t xml:space="preserve"> quota del 20,6% sul totale, con un aumento di ordini del 0,7% rispetto allo stesso periodo del 2016. Al secondo posto si colloca la Repubblica Ceca, con una quota dell’11,5% e con un aumento</w:t>
      </w:r>
      <w:proofErr w:type="gramStart"/>
      <w:r w:rsidRPr="00B3559C">
        <w:rPr>
          <w:rFonts w:ascii="Times New Roman" w:hAnsi="Times New Roman" w:cs="Times New Roman"/>
          <w:lang w:val="it-IT"/>
        </w:rPr>
        <w:t xml:space="preserve">  </w:t>
      </w:r>
      <w:proofErr w:type="gramEnd"/>
      <w:r w:rsidRPr="00B3559C">
        <w:rPr>
          <w:rFonts w:ascii="Times New Roman" w:hAnsi="Times New Roman" w:cs="Times New Roman"/>
          <w:lang w:val="it-IT"/>
        </w:rPr>
        <w:t xml:space="preserve">dell’export del 3,9%. Al terzo posto la Polonia, con una quota del 7,6% e una variazione del 7,1%, seguita dalla Francia, con un aumento dell’export </w:t>
      </w:r>
      <w:proofErr w:type="gramStart"/>
      <w:r w:rsidRPr="00B3559C">
        <w:rPr>
          <w:rFonts w:ascii="Times New Roman" w:hAnsi="Times New Roman" w:cs="Times New Roman"/>
          <w:lang w:val="it-IT"/>
        </w:rPr>
        <w:t xml:space="preserve">del </w:t>
      </w:r>
      <w:proofErr w:type="gramEnd"/>
      <w:r w:rsidRPr="00B3559C">
        <w:rPr>
          <w:rFonts w:ascii="Times New Roman" w:hAnsi="Times New Roman" w:cs="Times New Roman"/>
          <w:lang w:val="it-IT"/>
        </w:rPr>
        <w:t xml:space="preserve">8,9% ed una quota di mercato del 6,3%. Al quinto posto si colloca il Regno Unito, partecipando al totale con una quota del 6,0% e con una crescita delle sue importazioni dalla Slovacchia </w:t>
      </w:r>
      <w:proofErr w:type="gramStart"/>
      <w:r w:rsidRPr="00B3559C">
        <w:rPr>
          <w:rFonts w:ascii="Times New Roman" w:hAnsi="Times New Roman" w:cs="Times New Roman"/>
          <w:lang w:val="it-IT"/>
        </w:rPr>
        <w:t xml:space="preserve">del </w:t>
      </w:r>
      <w:proofErr w:type="gramEnd"/>
      <w:r w:rsidRPr="00B3559C">
        <w:rPr>
          <w:rFonts w:ascii="Times New Roman" w:hAnsi="Times New Roman" w:cs="Times New Roman"/>
          <w:lang w:val="it-IT"/>
        </w:rPr>
        <w:t xml:space="preserve">8,7%.  </w:t>
      </w:r>
      <w:r w:rsidRPr="00B3559C">
        <w:rPr>
          <w:rFonts w:ascii="Times New Roman" w:hAnsi="Times New Roman" w:cs="Times New Roman"/>
          <w:b/>
          <w:lang w:val="it-IT"/>
        </w:rPr>
        <w:lastRenderedPageBreak/>
        <w:t>L´Italia migliora la sua posizione del paese cliente rispetto all’anno precedente e si colloca in sesta posizione (l’ottava posizione nel 2016)</w:t>
      </w:r>
      <w:r w:rsidRPr="00B3559C">
        <w:rPr>
          <w:rFonts w:ascii="Times New Roman" w:hAnsi="Times New Roman" w:cs="Times New Roman"/>
          <w:lang w:val="it-IT"/>
        </w:rPr>
        <w:t xml:space="preserve">, </w:t>
      </w:r>
      <w:r w:rsidRPr="00B3559C">
        <w:rPr>
          <w:rFonts w:ascii="Times New Roman" w:hAnsi="Times New Roman" w:cs="Times New Roman"/>
          <w:b/>
          <w:lang w:val="it-IT"/>
        </w:rPr>
        <w:t xml:space="preserve">con una quota del 6,0% delle esportazioni slovacche, </w:t>
      </w:r>
      <w:proofErr w:type="gramStart"/>
      <w:r w:rsidRPr="00B3559C">
        <w:rPr>
          <w:rFonts w:ascii="Times New Roman" w:hAnsi="Times New Roman" w:cs="Times New Roman"/>
          <w:b/>
          <w:lang w:val="it-IT"/>
        </w:rPr>
        <w:t>ed</w:t>
      </w:r>
      <w:proofErr w:type="gramEnd"/>
      <w:r w:rsidRPr="00B3559C">
        <w:rPr>
          <w:rFonts w:ascii="Times New Roman" w:hAnsi="Times New Roman" w:cs="Times New Roman"/>
          <w:b/>
          <w:lang w:val="it-IT"/>
        </w:rPr>
        <w:t xml:space="preserve"> un aumento delle stesse del 32,8%,</w:t>
      </w:r>
      <w:r w:rsidRPr="00B3559C">
        <w:rPr>
          <w:rFonts w:ascii="Times New Roman" w:hAnsi="Times New Roman" w:cs="Times New Roman"/>
          <w:lang w:val="it-IT"/>
        </w:rPr>
        <w:t xml:space="preserve"> seguita dall’Ungheria, con un aumento del 14,4% e quota di mercato pari al 6,0% e dall’Austria con una variazione rispetto all’anno precedente del 12,3% e la quota di mercato pari al 6,0%.  Le esportazioni verso la Spagna hanno registrato un aumento del 6,1%, </w:t>
      </w:r>
      <w:proofErr w:type="gramStart"/>
      <w:r w:rsidRPr="00B3559C">
        <w:rPr>
          <w:rFonts w:ascii="Times New Roman" w:hAnsi="Times New Roman" w:cs="Times New Roman"/>
          <w:lang w:val="it-IT"/>
        </w:rPr>
        <w:t>ed</w:t>
      </w:r>
      <w:proofErr w:type="gramEnd"/>
      <w:r w:rsidRPr="00B3559C">
        <w:rPr>
          <w:rFonts w:ascii="Times New Roman" w:hAnsi="Times New Roman" w:cs="Times New Roman"/>
          <w:lang w:val="it-IT"/>
        </w:rPr>
        <w:t xml:space="preserve"> una quota del 2,9%, seguita dai Paesi Bassi, con una diminuzione  di ordini del 4,3% ed una quota che copre il 2,6% delle vendite slovacche all´estero.</w:t>
      </w:r>
    </w:p>
    <w:p w:rsidR="00B3559C" w:rsidRPr="00B3559C" w:rsidRDefault="00B3559C" w:rsidP="00B3559C">
      <w:pPr>
        <w:pStyle w:val="Titolo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lang w:val="it-IT"/>
        </w:rPr>
      </w:pPr>
    </w:p>
    <w:p w:rsidR="00B3559C" w:rsidRPr="00B3559C" w:rsidRDefault="00B3559C" w:rsidP="00B3559C">
      <w:pPr>
        <w:pStyle w:val="Titolo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lang w:val="it-IT"/>
        </w:rPr>
      </w:pPr>
      <w:r w:rsidRPr="00B3559C">
        <w:rPr>
          <w:rFonts w:ascii="Times New Roman" w:hAnsi="Times New Roman" w:cs="Times New Roman"/>
          <w:lang w:val="it-IT"/>
        </w:rPr>
        <w:t>Esportazioni slovacche: Principali Paesi clienti</w:t>
      </w:r>
    </w:p>
    <w:tbl>
      <w:tblPr>
        <w:tblpPr w:leftFromText="141" w:rightFromText="141" w:vertAnchor="text" w:horzAnchor="margin" w:tblpX="70" w:tblpY="68"/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11"/>
        <w:gridCol w:w="711"/>
        <w:gridCol w:w="711"/>
        <w:gridCol w:w="711"/>
        <w:gridCol w:w="711"/>
        <w:gridCol w:w="1122"/>
        <w:gridCol w:w="1276"/>
        <w:gridCol w:w="1276"/>
      </w:tblGrid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B3559C">
              <w:rPr>
                <w:rStyle w:val="Enfasigrassetto"/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B3559C">
              <w:rPr>
                <w:rStyle w:val="Enfasigrassetto"/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B3559C">
              <w:rPr>
                <w:rStyle w:val="Enfasigrassetto"/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B3559C" w:rsidRPr="00B3559C" w:rsidRDefault="00B3559C" w:rsidP="00652A8F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B3559C">
              <w:rPr>
                <w:rStyle w:val="Enfasigrassetto"/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B3559C" w:rsidRPr="00B3559C" w:rsidRDefault="00B3559C" w:rsidP="00652A8F">
            <w:pPr>
              <w:pStyle w:val="BodyTextChar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2017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Variazione 2017/2016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BodyTextChar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B3559C" w:rsidRPr="00B3559C" w:rsidTr="00652A8F">
        <w:trPr>
          <w:trHeight w:val="7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Germania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13.391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13.392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14.332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15.392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15.335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15.424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20,6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Rep. Ceca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8.669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8.294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8.436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8.301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8.600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Polonia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5.068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5.295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5.200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5.622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5.315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5.698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7,6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3.387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3.196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3.203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3.832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4.295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4.701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6,3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Regno Unito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2.490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2.910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3.363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4.157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4.505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6,0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Italia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  <w:t>2.880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2.921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2.958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3.067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3.383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4.497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6,0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Ungheria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4.470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4.070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3.955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3.787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3.902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4.487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6,0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4.159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3.977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3.967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3.863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4.010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4.479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6,0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Spagna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1.399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1.870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2.082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2,9</w:t>
            </w:r>
          </w:p>
        </w:tc>
      </w:tr>
      <w:tr w:rsidR="00B3559C" w:rsidRPr="00B3559C" w:rsidTr="00652A8F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Paesi Bassi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1.418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1.496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1.643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1.662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2.027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1.914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-4,3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eastAsia="Arial Unicode MS" w:hAnsi="Times New Roman" w:cs="Times New Roman"/>
                <w:sz w:val="20"/>
                <w:szCs w:val="20"/>
              </w:rPr>
              <w:t>2,6</w:t>
            </w:r>
          </w:p>
        </w:tc>
      </w:tr>
    </w:tbl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</w:p>
    <w:p w:rsidR="00B3559C" w:rsidRPr="00B3559C" w:rsidRDefault="00B3559C" w:rsidP="00B3559C">
      <w:pPr>
        <w:pStyle w:val="Didascalia"/>
        <w:tabs>
          <w:tab w:val="num" w:pos="0"/>
        </w:tabs>
        <w:rPr>
          <w:noProof w:val="0"/>
          <w:sz w:val="16"/>
          <w:szCs w:val="16"/>
        </w:rPr>
      </w:pPr>
      <w:proofErr w:type="gramStart"/>
      <w:r w:rsidRPr="00B3559C">
        <w:rPr>
          <w:noProof w:val="0"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B3559C" w:rsidRPr="00B3559C" w:rsidRDefault="00B3559C" w:rsidP="00B3559C">
      <w:pPr>
        <w:pStyle w:val="Corpodeltesto2"/>
        <w:spacing w:line="260" w:lineRule="exact"/>
        <w:rPr>
          <w:rFonts w:ascii="Times New Roman" w:hAnsi="Times New Roman" w:cs="Times New Roman"/>
          <w:lang w:val="it-IT"/>
        </w:rPr>
      </w:pPr>
    </w:p>
    <w:p w:rsidR="00B3559C" w:rsidRPr="00B3559C" w:rsidRDefault="00B3559C" w:rsidP="00B355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559C">
        <w:rPr>
          <w:rFonts w:ascii="Times New Roman" w:hAnsi="Times New Roman" w:cs="Times New Roman"/>
          <w:b/>
          <w:bCs/>
          <w:sz w:val="24"/>
          <w:szCs w:val="24"/>
        </w:rPr>
        <w:t xml:space="preserve">Principali gruppi merceologici </w:t>
      </w:r>
    </w:p>
    <w:p w:rsidR="00B3559C" w:rsidRPr="00B3559C" w:rsidRDefault="00B3559C" w:rsidP="00B355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59C">
        <w:rPr>
          <w:rFonts w:ascii="Times New Roman" w:hAnsi="Times New Roman" w:cs="Times New Roman"/>
          <w:b/>
          <w:sz w:val="24"/>
          <w:szCs w:val="24"/>
        </w:rPr>
        <w:t>Nel 2017</w:t>
      </w:r>
      <w:r w:rsidRPr="00B3559C">
        <w:rPr>
          <w:rFonts w:ascii="Times New Roman" w:hAnsi="Times New Roman" w:cs="Times New Roman"/>
          <w:sz w:val="24"/>
          <w:szCs w:val="24"/>
        </w:rPr>
        <w:t xml:space="preserve"> si confermano al primo posto delle </w:t>
      </w:r>
      <w:r w:rsidRPr="00B3559C">
        <w:rPr>
          <w:rFonts w:ascii="Times New Roman" w:hAnsi="Times New Roman" w:cs="Times New Roman"/>
          <w:b/>
          <w:sz w:val="24"/>
          <w:szCs w:val="24"/>
        </w:rPr>
        <w:t>importazioni slovacche</w:t>
      </w:r>
      <w:r w:rsidRPr="00B3559C">
        <w:rPr>
          <w:rFonts w:ascii="Times New Roman" w:hAnsi="Times New Roman" w:cs="Times New Roman"/>
          <w:sz w:val="24"/>
          <w:szCs w:val="24"/>
        </w:rPr>
        <w:t xml:space="preserve"> i macchinari e veicoli, registrando un aumento del 6,4%, seguiti dai beni di consumo (11,6%) e dai prodotti industriali (-5,1%). Le importazioni dei prodotti chimici, alla quarta posizione, sono incrementate del 4,7%, seguite, in quinta posizione, dai combustibili </w:t>
      </w:r>
      <w:proofErr w:type="gramStart"/>
      <w:r w:rsidRPr="00B3559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3559C">
        <w:rPr>
          <w:rFonts w:ascii="Times New Roman" w:hAnsi="Times New Roman" w:cs="Times New Roman"/>
          <w:sz w:val="24"/>
          <w:szCs w:val="24"/>
        </w:rPr>
        <w:t xml:space="preserve">in aumento del 40,8% rispetto allo stesso periodo dell’anno precedente) e dai prodotti alimentari  (3,3%) in sesta posizione. Il settimo posto è occupato dalle materie prime (in crescita del 29,5%) e dalle bevande, in 8° posizione, con un aumento </w:t>
      </w:r>
      <w:proofErr w:type="gramStart"/>
      <w:r w:rsidRPr="00B3559C">
        <w:rPr>
          <w:rFonts w:ascii="Times New Roman" w:hAnsi="Times New Roman" w:cs="Times New Roman"/>
          <w:sz w:val="24"/>
          <w:szCs w:val="24"/>
        </w:rPr>
        <w:t xml:space="preserve">del </w:t>
      </w:r>
      <w:proofErr w:type="gramEnd"/>
      <w:r w:rsidRPr="00B3559C">
        <w:rPr>
          <w:rFonts w:ascii="Times New Roman" w:hAnsi="Times New Roman" w:cs="Times New Roman"/>
          <w:sz w:val="24"/>
          <w:szCs w:val="24"/>
        </w:rPr>
        <w:t xml:space="preserve">8,7% e la nona posizione dagli oli e grassi, con una diminuzione delle importazioni rispetto all’anno precedente, del 18,6%. Le </w:t>
      </w:r>
      <w:r w:rsidRPr="00B3559C">
        <w:rPr>
          <w:rFonts w:ascii="Times New Roman" w:hAnsi="Times New Roman" w:cs="Times New Roman"/>
          <w:b/>
          <w:sz w:val="24"/>
          <w:szCs w:val="24"/>
        </w:rPr>
        <w:t>esportazioni slovacche</w:t>
      </w:r>
      <w:r w:rsidRPr="00B3559C">
        <w:rPr>
          <w:rFonts w:ascii="Times New Roman" w:hAnsi="Times New Roman" w:cs="Times New Roman"/>
          <w:sz w:val="24"/>
          <w:szCs w:val="24"/>
        </w:rPr>
        <w:t xml:space="preserve"> sono maggiormente rappresentate dai macchinari e veicoli, registrando un aumento del 3,9% rispetto al 2016, seguite dai beni di consumo alla seconda posizione (11,6%) e dai prodotti industriali alla terza, registrando un aumento del 7,9%. Al quarto posto si </w:t>
      </w:r>
      <w:proofErr w:type="gramStart"/>
      <w:r w:rsidRPr="00B3559C">
        <w:rPr>
          <w:rFonts w:ascii="Times New Roman" w:hAnsi="Times New Roman" w:cs="Times New Roman"/>
          <w:sz w:val="24"/>
          <w:szCs w:val="24"/>
        </w:rPr>
        <w:t>posizionano</w:t>
      </w:r>
      <w:proofErr w:type="gramEnd"/>
      <w:r w:rsidRPr="00B3559C">
        <w:rPr>
          <w:rFonts w:ascii="Times New Roman" w:hAnsi="Times New Roman" w:cs="Times New Roman"/>
          <w:sz w:val="24"/>
          <w:szCs w:val="24"/>
        </w:rPr>
        <w:t xml:space="preserve"> i prodotti chimici (in aumento dell’1,9%), al quinto i beni alimentari (in aumento dello 0,9%). In sesta posizione si confermano i combustibili (45,8%), seguiti dalle materie prime in crescita del 16,5%, dagli oli e grassi (-41,4%) e dalle bevande (-3,5%).</w:t>
      </w:r>
    </w:p>
    <w:p w:rsidR="00B3559C" w:rsidRPr="00B3559C" w:rsidRDefault="00B3559C" w:rsidP="00B3559C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3559C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B3559C">
        <w:rPr>
          <w:rFonts w:ascii="Times New Roman" w:hAnsi="Times New Roman" w:cs="Times New Roman"/>
          <w:sz w:val="24"/>
          <w:szCs w:val="24"/>
        </w:rPr>
        <w:t xml:space="preserve"> (</w:t>
      </w:r>
      <w:r w:rsidRPr="00B3559C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B3559C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44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67"/>
        <w:gridCol w:w="896"/>
        <w:gridCol w:w="896"/>
        <w:gridCol w:w="896"/>
        <w:gridCol w:w="896"/>
        <w:gridCol w:w="894"/>
        <w:gridCol w:w="1154"/>
        <w:gridCol w:w="1368"/>
      </w:tblGrid>
      <w:tr w:rsidR="00B3559C" w:rsidRPr="00B3559C" w:rsidTr="00652A8F">
        <w:trPr>
          <w:trHeight w:val="405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B3559C" w:rsidRPr="00B3559C" w:rsidRDefault="00B3559C" w:rsidP="00652A8F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2017/ 2016 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Titolo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veicoli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24.018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25.315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26.382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30.351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31.589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33.907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8.995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9.259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9.655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9.922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11.057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11,6</w:t>
            </w:r>
          </w:p>
        </w:tc>
      </w:tr>
      <w:tr w:rsidR="00B3559C" w:rsidRPr="00B3559C" w:rsidTr="00652A8F">
        <w:trPr>
          <w:trHeight w:val="9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7.002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6.974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7.402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8.203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8.596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8.125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-5,1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4.884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5.084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5.344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5.729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5.988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6.271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7.882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7.945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6.340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5.281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4.412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6.235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2.986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3.022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2.935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3.029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3.265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3.372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2.076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1.904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1.712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1.550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1.494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1.950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29,5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354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397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421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348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305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223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141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-18,6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169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137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259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12,9</w:t>
            </w:r>
          </w:p>
        </w:tc>
      </w:tr>
      <w:tr w:rsidR="00B3559C" w:rsidRPr="00B3559C" w:rsidTr="00652A8F"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58.588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60.077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60.152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66.402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71.817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8,2</w:t>
            </w:r>
          </w:p>
        </w:tc>
      </w:tr>
    </w:tbl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B3559C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B3559C" w:rsidRPr="00B3559C" w:rsidRDefault="00B3559C" w:rsidP="00B355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59C" w:rsidRPr="00B3559C" w:rsidRDefault="00B3559C" w:rsidP="00B355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59C">
        <w:rPr>
          <w:rFonts w:ascii="Times New Roman" w:hAnsi="Times New Roman" w:cs="Times New Roman"/>
          <w:b/>
          <w:bCs/>
          <w:sz w:val="24"/>
          <w:szCs w:val="24"/>
        </w:rPr>
        <w:lastRenderedPageBreak/>
        <w:t>Esportazioni</w:t>
      </w:r>
      <w:r w:rsidRPr="00B3559C">
        <w:rPr>
          <w:rFonts w:ascii="Times New Roman" w:hAnsi="Times New Roman" w:cs="Times New Roman"/>
          <w:sz w:val="24"/>
          <w:szCs w:val="24"/>
        </w:rPr>
        <w:t xml:space="preserve"> (</w:t>
      </w:r>
      <w:r w:rsidRPr="00B3559C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B3559C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41" w:rightFromText="141" w:vertAnchor="text" w:horzAnchor="margin" w:tblpY="66"/>
        <w:tblW w:w="44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42"/>
        <w:gridCol w:w="939"/>
        <w:gridCol w:w="937"/>
        <w:gridCol w:w="807"/>
        <w:gridCol w:w="991"/>
        <w:gridCol w:w="851"/>
        <w:gridCol w:w="1134"/>
        <w:gridCol w:w="1343"/>
      </w:tblGrid>
      <w:tr w:rsidR="00B3559C" w:rsidRPr="00B3559C" w:rsidTr="00652A8F">
        <w:trPr>
          <w:trHeight w:val="20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right="72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B3559C" w:rsidRPr="00B3559C" w:rsidRDefault="00B3559C" w:rsidP="00652A8F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2017/2016 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pStyle w:val="Titolo9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it-IT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</w:t>
            </w:r>
            <w:r w:rsidRPr="00B3559C">
              <w:rPr>
                <w:rFonts w:ascii="Times New Roman" w:hAnsi="Times New Roman" w:cs="Times New Roman"/>
                <w:b w:val="0"/>
                <w:sz w:val="20"/>
                <w:szCs w:val="20"/>
                <w:lang w:val="it-IT"/>
              </w:rPr>
              <w:t>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34.130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36.690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37.381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40.393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42.684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44.352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11.296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10.968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10.901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11.320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11.432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12.740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11,6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5.612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5.629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6.394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6.600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6.517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7.037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2.619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2.913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3.134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3.197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3.170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3.243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alimentari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2.534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2.387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2.210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2.213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2.338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2.360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3.666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3.681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3.071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2.526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2.346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3.388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45,8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1.962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1.541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1.266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1.221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1.166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1.356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260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161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-41,4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102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-3,5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127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182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181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Cs/>
                <w:sz w:val="20"/>
                <w:szCs w:val="20"/>
              </w:rPr>
              <w:t>168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sz w:val="20"/>
                <w:szCs w:val="20"/>
              </w:rPr>
              <w:t>-6,6</w:t>
            </w:r>
          </w:p>
        </w:tc>
      </w:tr>
      <w:tr w:rsidR="00B3559C" w:rsidRPr="00B3559C" w:rsidTr="00652A8F"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62.144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64.801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67.680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70.074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74.813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9C" w:rsidRPr="00B3559C" w:rsidRDefault="00B3559C" w:rsidP="00652A8F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C">
              <w:rPr>
                <w:rFonts w:ascii="Times New Roman" w:hAnsi="Times New Roman" w:cs="Times New Roman"/>
                <w:b/>
                <w:sz w:val="20"/>
                <w:szCs w:val="20"/>
              </w:rPr>
              <w:t>6,8</w:t>
            </w:r>
          </w:p>
        </w:tc>
      </w:tr>
    </w:tbl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B3559C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B3559C" w:rsidRPr="002D0415" w:rsidRDefault="00B3559C" w:rsidP="00B3559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B3559C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B3559C" w:rsidRPr="002D0415" w:rsidRDefault="00B3559C" w:rsidP="00B3559C">
      <w:pPr>
        <w:pStyle w:val="Titolo"/>
        <w:tabs>
          <w:tab w:val="left" w:pos="2410"/>
          <w:tab w:val="left" w:pos="2552"/>
          <w:tab w:val="left" w:pos="3969"/>
        </w:tabs>
        <w:spacing w:before="0" w:after="0" w:line="240" w:lineRule="auto"/>
        <w:jc w:val="left"/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</w:p>
    <w:p w:rsidR="00231436" w:rsidRDefault="00231436"/>
    <w:sectPr w:rsidR="00231436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283"/>
  <w:characterSpacingControl w:val="doNotCompress"/>
  <w:compat/>
  <w:rsids>
    <w:rsidRoot w:val="00B3559C"/>
    <w:rsid w:val="00000C1A"/>
    <w:rsid w:val="00024093"/>
    <w:rsid w:val="00046D03"/>
    <w:rsid w:val="000508A5"/>
    <w:rsid w:val="00063E78"/>
    <w:rsid w:val="000778C1"/>
    <w:rsid w:val="000A6847"/>
    <w:rsid w:val="000C304F"/>
    <w:rsid w:val="000C38D4"/>
    <w:rsid w:val="000C6D49"/>
    <w:rsid w:val="000E26FF"/>
    <w:rsid w:val="000E50D6"/>
    <w:rsid w:val="00117B29"/>
    <w:rsid w:val="00127193"/>
    <w:rsid w:val="001579E6"/>
    <w:rsid w:val="001600A7"/>
    <w:rsid w:val="00195E0E"/>
    <w:rsid w:val="001D7C47"/>
    <w:rsid w:val="001E32E5"/>
    <w:rsid w:val="001E7E0F"/>
    <w:rsid w:val="00216E5B"/>
    <w:rsid w:val="00231436"/>
    <w:rsid w:val="002531CC"/>
    <w:rsid w:val="00253BE4"/>
    <w:rsid w:val="002601BD"/>
    <w:rsid w:val="00260913"/>
    <w:rsid w:val="00266857"/>
    <w:rsid w:val="0026737D"/>
    <w:rsid w:val="0027539F"/>
    <w:rsid w:val="00275F48"/>
    <w:rsid w:val="00287877"/>
    <w:rsid w:val="002D3048"/>
    <w:rsid w:val="002F3E6B"/>
    <w:rsid w:val="003060CB"/>
    <w:rsid w:val="00316C69"/>
    <w:rsid w:val="003218B5"/>
    <w:rsid w:val="00341B1E"/>
    <w:rsid w:val="003C7C38"/>
    <w:rsid w:val="003C7C58"/>
    <w:rsid w:val="003E01B1"/>
    <w:rsid w:val="00404AB7"/>
    <w:rsid w:val="00463449"/>
    <w:rsid w:val="00464132"/>
    <w:rsid w:val="00486D74"/>
    <w:rsid w:val="004903AE"/>
    <w:rsid w:val="004922AF"/>
    <w:rsid w:val="004B715A"/>
    <w:rsid w:val="004C6F85"/>
    <w:rsid w:val="004C78CE"/>
    <w:rsid w:val="004E347D"/>
    <w:rsid w:val="004E4ECD"/>
    <w:rsid w:val="00501118"/>
    <w:rsid w:val="00515C87"/>
    <w:rsid w:val="00524369"/>
    <w:rsid w:val="00540726"/>
    <w:rsid w:val="00542BE0"/>
    <w:rsid w:val="005607F5"/>
    <w:rsid w:val="00561196"/>
    <w:rsid w:val="00601FC8"/>
    <w:rsid w:val="0061108E"/>
    <w:rsid w:val="00633391"/>
    <w:rsid w:val="00662480"/>
    <w:rsid w:val="006719BC"/>
    <w:rsid w:val="00687B18"/>
    <w:rsid w:val="00694F3C"/>
    <w:rsid w:val="006A57A1"/>
    <w:rsid w:val="006D2EB2"/>
    <w:rsid w:val="00710A71"/>
    <w:rsid w:val="007558D0"/>
    <w:rsid w:val="007628A7"/>
    <w:rsid w:val="007A3F6C"/>
    <w:rsid w:val="007B662B"/>
    <w:rsid w:val="007C5291"/>
    <w:rsid w:val="007E4F4C"/>
    <w:rsid w:val="007F751F"/>
    <w:rsid w:val="008170D6"/>
    <w:rsid w:val="00856868"/>
    <w:rsid w:val="00892CCE"/>
    <w:rsid w:val="008A32B8"/>
    <w:rsid w:val="008C49F0"/>
    <w:rsid w:val="008F0ED2"/>
    <w:rsid w:val="008F5BFF"/>
    <w:rsid w:val="009036B4"/>
    <w:rsid w:val="0091153C"/>
    <w:rsid w:val="00911A20"/>
    <w:rsid w:val="00916DC5"/>
    <w:rsid w:val="00917D2F"/>
    <w:rsid w:val="00930E53"/>
    <w:rsid w:val="00932587"/>
    <w:rsid w:val="00954379"/>
    <w:rsid w:val="009B758D"/>
    <w:rsid w:val="009D6955"/>
    <w:rsid w:val="00A45EA6"/>
    <w:rsid w:val="00A54DCB"/>
    <w:rsid w:val="00AD4F6F"/>
    <w:rsid w:val="00B3093A"/>
    <w:rsid w:val="00B3559C"/>
    <w:rsid w:val="00B37F8A"/>
    <w:rsid w:val="00B563E4"/>
    <w:rsid w:val="00B600B9"/>
    <w:rsid w:val="00B66A64"/>
    <w:rsid w:val="00BA2857"/>
    <w:rsid w:val="00BB4A3A"/>
    <w:rsid w:val="00BC6FE5"/>
    <w:rsid w:val="00C02E67"/>
    <w:rsid w:val="00C315C3"/>
    <w:rsid w:val="00C92F28"/>
    <w:rsid w:val="00CA64DF"/>
    <w:rsid w:val="00D32B09"/>
    <w:rsid w:val="00D408AC"/>
    <w:rsid w:val="00D47B44"/>
    <w:rsid w:val="00D70A55"/>
    <w:rsid w:val="00D77CA0"/>
    <w:rsid w:val="00D82EF1"/>
    <w:rsid w:val="00DE7132"/>
    <w:rsid w:val="00DF2803"/>
    <w:rsid w:val="00DF4ADE"/>
    <w:rsid w:val="00E25918"/>
    <w:rsid w:val="00E36B03"/>
    <w:rsid w:val="00E9105B"/>
    <w:rsid w:val="00ED6843"/>
    <w:rsid w:val="00EE0760"/>
    <w:rsid w:val="00F0471D"/>
    <w:rsid w:val="00F0503B"/>
    <w:rsid w:val="00F20D65"/>
    <w:rsid w:val="00F343D9"/>
    <w:rsid w:val="00F649D9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559C"/>
    <w:rPr>
      <w:rFonts w:ascii="Calibri" w:eastAsia="Times New Roman" w:hAnsi="Calibri" w:cs="Calibri"/>
    </w:rPr>
  </w:style>
  <w:style w:type="paragraph" w:styleId="Titolo4">
    <w:name w:val="heading 4"/>
    <w:basedOn w:val="Normale"/>
    <w:next w:val="Normale"/>
    <w:link w:val="Titolo4Carattere"/>
    <w:qFormat/>
    <w:rsid w:val="00B3559C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color w:val="000000"/>
      <w:sz w:val="24"/>
      <w:szCs w:val="24"/>
      <w:lang w:val="en-US" w:eastAsia="it-IT"/>
    </w:rPr>
  </w:style>
  <w:style w:type="paragraph" w:styleId="Titolo9">
    <w:name w:val="heading 9"/>
    <w:basedOn w:val="Normale"/>
    <w:next w:val="Normale"/>
    <w:link w:val="Titolo9Carattere"/>
    <w:qFormat/>
    <w:rsid w:val="00B3559C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B3559C"/>
    <w:rPr>
      <w:rFonts w:ascii="Arial" w:eastAsia="Times New Roman" w:hAnsi="Arial" w:cs="Arial"/>
      <w:b/>
      <w:bCs/>
      <w:color w:val="000000"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rsid w:val="00B3559C"/>
    <w:rPr>
      <w:rFonts w:ascii="Arial" w:eastAsia="Times New Roman" w:hAnsi="Arial" w:cs="Arial"/>
      <w:b/>
      <w:bCs/>
      <w:sz w:val="24"/>
      <w:szCs w:val="24"/>
      <w:lang w:val="en-US"/>
    </w:rPr>
  </w:style>
  <w:style w:type="paragraph" w:styleId="BodyTextChar">
    <w:name w:val="Body Text Char"/>
    <w:aliases w:val="Body Text(ch),正文文本,Carattere"/>
    <w:basedOn w:val="Normale"/>
    <w:next w:val="Corpodeltesto"/>
    <w:link w:val="CorpotestoCarattere"/>
    <w:rsid w:val="00B3559C"/>
    <w:pPr>
      <w:spacing w:after="0" w:line="240" w:lineRule="auto"/>
      <w:jc w:val="both"/>
    </w:pPr>
    <w:rPr>
      <w:rFonts w:ascii="Arial" w:eastAsiaTheme="minorHAnsi" w:hAnsi="Arial" w:cs="Arial"/>
      <w:color w:val="000000"/>
      <w:sz w:val="24"/>
      <w:szCs w:val="24"/>
      <w:lang w:val="en-US" w:eastAsia="it-IT"/>
    </w:rPr>
  </w:style>
  <w:style w:type="character" w:customStyle="1" w:styleId="CorpotestoCarattere">
    <w:name w:val="Corpo testo Carattere"/>
    <w:aliases w:val="Body Text Char Carattere,Body Text(ch) Carattere,正文文本 Carattere,Carattere Carattere"/>
    <w:link w:val="BodyTextChar"/>
    <w:semiHidden/>
    <w:locked/>
    <w:rsid w:val="00B3559C"/>
    <w:rPr>
      <w:rFonts w:ascii="Arial" w:hAnsi="Arial" w:cs="Arial"/>
      <w:color w:val="000000"/>
      <w:sz w:val="24"/>
      <w:szCs w:val="24"/>
      <w:lang w:val="en-US" w:eastAsia="it-IT" w:bidi="ar-SA"/>
    </w:rPr>
  </w:style>
  <w:style w:type="character" w:styleId="Enfasigrassetto">
    <w:name w:val="Strong"/>
    <w:qFormat/>
    <w:rsid w:val="00B3559C"/>
    <w:rPr>
      <w:rFonts w:cs="Times New Roman"/>
      <w:b/>
      <w:bCs/>
    </w:rPr>
  </w:style>
  <w:style w:type="paragraph" w:styleId="Corpodeltesto2">
    <w:name w:val="Body Text 2"/>
    <w:basedOn w:val="Normale"/>
    <w:link w:val="Corpodeltesto2Carattere"/>
    <w:semiHidden/>
    <w:rsid w:val="00B3559C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3559C"/>
    <w:rPr>
      <w:rFonts w:ascii="Arial" w:eastAsia="Times New Roman" w:hAnsi="Arial" w:cs="Arial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qFormat/>
    <w:rsid w:val="00B3559C"/>
    <w:pPr>
      <w:spacing w:after="0" w:line="240" w:lineRule="auto"/>
    </w:pPr>
    <w:rPr>
      <w:rFonts w:ascii="Times New Roman" w:eastAsia="Calibri" w:hAnsi="Times New Roman" w:cs="Times New Roman"/>
      <w:i/>
      <w:iCs/>
      <w:noProof/>
      <w:sz w:val="21"/>
      <w:szCs w:val="21"/>
      <w:lang w:eastAsia="it-IT"/>
    </w:rPr>
  </w:style>
  <w:style w:type="paragraph" w:customStyle="1" w:styleId="CM20">
    <w:name w:val="CM20"/>
    <w:basedOn w:val="Normale"/>
    <w:next w:val="Normale"/>
    <w:rsid w:val="00B3559C"/>
    <w:pPr>
      <w:widowControl w:val="0"/>
      <w:autoSpaceDE w:val="0"/>
      <w:autoSpaceDN w:val="0"/>
      <w:adjustRightInd w:val="0"/>
      <w:spacing w:after="63" w:line="240" w:lineRule="auto"/>
    </w:pPr>
    <w:rPr>
      <w:rFonts w:ascii="Garamond" w:eastAsia="SimSun" w:hAnsi="Garamond" w:cs="Garamond"/>
      <w:sz w:val="24"/>
      <w:szCs w:val="24"/>
      <w:lang w:val="en-US" w:eastAsia="zh-CN"/>
    </w:rPr>
  </w:style>
  <w:style w:type="paragraph" w:styleId="Titolo">
    <w:name w:val="Title"/>
    <w:basedOn w:val="Normale"/>
    <w:next w:val="Normale"/>
    <w:link w:val="TitoloCarattere"/>
    <w:qFormat/>
    <w:rsid w:val="00B3559C"/>
    <w:pPr>
      <w:spacing w:before="240" w:after="60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B3559C"/>
    <w:rPr>
      <w:rFonts w:ascii="Cambria" w:eastAsia="Calibri" w:hAnsi="Cambria" w:cs="Cambria"/>
      <w:b/>
      <w:bCs/>
      <w:kern w:val="28"/>
      <w:sz w:val="32"/>
      <w:szCs w:val="32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B3559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B3559C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1136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2018-04-11T13:17:00Z</dcterms:created>
  <dcterms:modified xsi:type="dcterms:W3CDTF">2018-04-11T13:19:00Z</dcterms:modified>
</cp:coreProperties>
</file>