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945" w:rsidRDefault="00D73945" w:rsidP="00D73945">
      <w:pPr>
        <w:pStyle w:val="Titolo"/>
        <w:spacing w:before="0"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D73945">
        <w:rPr>
          <w:rFonts w:ascii="Times New Roman" w:hAnsi="Times New Roman" w:cs="Times New Roman"/>
          <w:iCs/>
          <w:sz w:val="24"/>
          <w:szCs w:val="24"/>
        </w:rPr>
        <w:t>COMMERCIO ESTERO SLOVACCHIA</w:t>
      </w:r>
    </w:p>
    <w:p w:rsidR="00D73945" w:rsidRPr="00D73945" w:rsidRDefault="00D73945" w:rsidP="00D73945"/>
    <w:p w:rsidR="00D73945" w:rsidRPr="00D73945" w:rsidRDefault="00D73945" w:rsidP="00D739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D7394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>Nel 2015</w:t>
      </w:r>
      <w:r w:rsidRPr="00D73945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Pr="00D73945">
        <w:rPr>
          <w:rFonts w:ascii="Times New Roman" w:hAnsi="Times New Roman" w:cs="Times New Roman"/>
          <w:b/>
          <w:color w:val="000000"/>
          <w:sz w:val="24"/>
          <w:szCs w:val="24"/>
          <w:lang w:eastAsia="it-IT"/>
        </w:rPr>
        <w:t>l’</w:t>
      </w:r>
      <w:proofErr w:type="gramStart"/>
      <w:r w:rsidRPr="00D73945">
        <w:rPr>
          <w:rFonts w:ascii="Times New Roman" w:hAnsi="Times New Roman" w:cs="Times New Roman"/>
          <w:b/>
          <w:color w:val="000000"/>
          <w:sz w:val="24"/>
          <w:szCs w:val="24"/>
          <w:lang w:eastAsia="it-IT"/>
        </w:rPr>
        <w:t>interscambio</w:t>
      </w:r>
      <w:proofErr w:type="gramEnd"/>
      <w:r w:rsidRPr="00D73945">
        <w:rPr>
          <w:rFonts w:ascii="Times New Roman" w:hAnsi="Times New Roman" w:cs="Times New Roman"/>
          <w:b/>
          <w:color w:val="000000"/>
          <w:sz w:val="24"/>
          <w:szCs w:val="24"/>
          <w:lang w:eastAsia="it-IT"/>
        </w:rPr>
        <w:t xml:space="preserve"> commerciale</w:t>
      </w:r>
      <w:r w:rsidRPr="00D73945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della Slovacchia ha proseguito nel suo trend positivo. Le esportazioni di Bratislava sono ammontate nel 2015 a 67.679,9 </w:t>
      </w:r>
      <w:proofErr w:type="spellStart"/>
      <w:r w:rsidRPr="00D73945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mln</w:t>
      </w:r>
      <w:proofErr w:type="spellEnd"/>
      <w:r w:rsidRPr="00D73945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di € (+4,6% rispetto al 2014), mentre le importazioni sono </w:t>
      </w:r>
      <w:proofErr w:type="gramStart"/>
      <w:r w:rsidRPr="00D73945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risultate</w:t>
      </w:r>
      <w:proofErr w:type="gramEnd"/>
      <w:r w:rsidRPr="00D73945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pari a 64.360,7 </w:t>
      </w:r>
      <w:proofErr w:type="spellStart"/>
      <w:r w:rsidRPr="00D73945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mln</w:t>
      </w:r>
      <w:proofErr w:type="spellEnd"/>
      <w:r w:rsidRPr="00D73945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di € (+7,2% rispetto all’anno precedente), registrando un surplus della bilancia commerciale slovacca di  3.319,2 miliardi di Euro. </w:t>
      </w:r>
    </w:p>
    <w:p w:rsidR="00D73945" w:rsidRPr="00D73945" w:rsidRDefault="00D73945" w:rsidP="00D739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</w:p>
    <w:p w:rsidR="00D73945" w:rsidRPr="00D73945" w:rsidRDefault="00D73945" w:rsidP="00D739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  <w:r w:rsidRPr="00D73945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Le </w:t>
      </w:r>
      <w:r w:rsidRPr="00D73945">
        <w:rPr>
          <w:rFonts w:ascii="Times New Roman" w:hAnsi="Times New Roman" w:cs="Times New Roman"/>
          <w:b/>
          <w:color w:val="000000"/>
          <w:sz w:val="24"/>
          <w:szCs w:val="24"/>
          <w:lang w:eastAsia="it-IT"/>
        </w:rPr>
        <w:t xml:space="preserve">esportazioni di Bratislava </w:t>
      </w:r>
      <w:r w:rsidRPr="00D7394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it-IT"/>
        </w:rPr>
        <w:t>nel primo semestre 2016</w:t>
      </w:r>
      <w:r w:rsidRPr="00D73945">
        <w:rPr>
          <w:rFonts w:ascii="Times New Roman" w:hAnsi="Times New Roman" w:cs="Times New Roman"/>
          <w:b/>
          <w:color w:val="000000"/>
          <w:sz w:val="24"/>
          <w:szCs w:val="24"/>
          <w:lang w:eastAsia="it-IT"/>
        </w:rPr>
        <w:t xml:space="preserve"> </w:t>
      </w:r>
      <w:r w:rsidRPr="00D73945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(ultimo dato disponibile) sono ammontate a 34.791,8 </w:t>
      </w:r>
      <w:proofErr w:type="spellStart"/>
      <w:r w:rsidRPr="00D73945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mln</w:t>
      </w:r>
      <w:proofErr w:type="spellEnd"/>
      <w:r w:rsidRPr="00D73945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di € (+</w:t>
      </w:r>
      <w:r w:rsidRPr="00D73945">
        <w:rPr>
          <w:rFonts w:ascii="Times New Roman" w:hAnsi="Times New Roman" w:cs="Times New Roman"/>
          <w:sz w:val="24"/>
          <w:szCs w:val="24"/>
          <w:lang w:eastAsia="it-IT"/>
        </w:rPr>
        <w:t>3,7</w:t>
      </w:r>
      <w:r w:rsidRPr="00D73945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% rispetto allo stesso periodo del 2015), mentre le importazioni sono </w:t>
      </w:r>
      <w:proofErr w:type="gramStart"/>
      <w:r w:rsidRPr="00D73945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risultate</w:t>
      </w:r>
      <w:proofErr w:type="gramEnd"/>
      <w:r w:rsidRPr="00D73945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pari a 32.467,8 </w:t>
      </w:r>
      <w:proofErr w:type="spellStart"/>
      <w:r w:rsidRPr="00D73945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>mln</w:t>
      </w:r>
      <w:proofErr w:type="spellEnd"/>
      <w:r w:rsidRPr="00D73945">
        <w:rPr>
          <w:rFonts w:ascii="Times New Roman" w:hAnsi="Times New Roman" w:cs="Times New Roman"/>
          <w:color w:val="000000"/>
          <w:sz w:val="24"/>
          <w:szCs w:val="24"/>
          <w:lang w:eastAsia="it-IT"/>
        </w:rPr>
        <w:t xml:space="preserve"> di € (+3,9% rispetto all’anno precedente), registrando un surplus della bilancia commerciale slovacca di  2.324 miliardi di Euro.</w:t>
      </w:r>
    </w:p>
    <w:p w:rsidR="00D73945" w:rsidRPr="00D73945" w:rsidRDefault="00D73945" w:rsidP="00D739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</w:p>
    <w:p w:rsidR="00D73945" w:rsidRPr="00D73945" w:rsidRDefault="00D73945" w:rsidP="00D73945">
      <w:pPr>
        <w:pStyle w:val="Corpodeltesto"/>
        <w:tabs>
          <w:tab w:val="num" w:pos="0"/>
        </w:tabs>
        <w:jc w:val="center"/>
        <w:rPr>
          <w:rFonts w:ascii="Times New Roman" w:hAnsi="Times New Roman" w:cs="Times New Roman"/>
          <w:b/>
          <w:lang w:val="it-IT"/>
        </w:rPr>
      </w:pPr>
    </w:p>
    <w:p w:rsidR="00D73945" w:rsidRPr="00D73945" w:rsidRDefault="00D73945" w:rsidP="00D73945">
      <w:pPr>
        <w:pStyle w:val="Corpodeltesto"/>
        <w:tabs>
          <w:tab w:val="num" w:pos="0"/>
        </w:tabs>
        <w:jc w:val="center"/>
        <w:rPr>
          <w:rFonts w:ascii="Times New Roman" w:hAnsi="Times New Roman" w:cs="Times New Roman"/>
          <w:b/>
        </w:rPr>
      </w:pPr>
      <w:proofErr w:type="spellStart"/>
      <w:r w:rsidRPr="00D73945">
        <w:rPr>
          <w:rFonts w:ascii="Times New Roman" w:hAnsi="Times New Roman" w:cs="Times New Roman"/>
          <w:b/>
        </w:rPr>
        <w:t>Bilancia</w:t>
      </w:r>
      <w:proofErr w:type="spellEnd"/>
      <w:r w:rsidRPr="00D73945">
        <w:rPr>
          <w:rFonts w:ascii="Times New Roman" w:hAnsi="Times New Roman" w:cs="Times New Roman"/>
          <w:b/>
        </w:rPr>
        <w:t xml:space="preserve"> </w:t>
      </w:r>
      <w:proofErr w:type="spellStart"/>
      <w:r w:rsidRPr="00D73945">
        <w:rPr>
          <w:rFonts w:ascii="Times New Roman" w:hAnsi="Times New Roman" w:cs="Times New Roman"/>
          <w:b/>
        </w:rPr>
        <w:t>commerciale</w:t>
      </w:r>
      <w:proofErr w:type="spellEnd"/>
      <w:r w:rsidRPr="00D73945">
        <w:rPr>
          <w:rFonts w:ascii="Times New Roman" w:hAnsi="Times New Roman" w:cs="Times New Roman"/>
          <w:b/>
        </w:rPr>
        <w:t xml:space="preserve"> </w:t>
      </w:r>
      <w:proofErr w:type="spellStart"/>
      <w:r w:rsidRPr="00D73945">
        <w:rPr>
          <w:rFonts w:ascii="Times New Roman" w:hAnsi="Times New Roman" w:cs="Times New Roman"/>
          <w:b/>
        </w:rPr>
        <w:t>slovacca</w:t>
      </w:r>
      <w:proofErr w:type="spellEnd"/>
    </w:p>
    <w:tbl>
      <w:tblPr>
        <w:tblW w:w="96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1134"/>
        <w:gridCol w:w="1134"/>
        <w:gridCol w:w="1134"/>
        <w:gridCol w:w="850"/>
        <w:gridCol w:w="1134"/>
        <w:gridCol w:w="1134"/>
        <w:gridCol w:w="1134"/>
        <w:gridCol w:w="1134"/>
      </w:tblGrid>
      <w:tr w:rsidR="00D73945" w:rsidRPr="00D73945" w:rsidTr="001029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ind w:right="-108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Euro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2011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tabs>
                <w:tab w:val="left" w:pos="180"/>
                <w:tab w:val="center" w:pos="426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ab/>
            </w:r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ab/>
              <w:t>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Variazione</w:t>
            </w:r>
            <w:proofErr w:type="spellEnd"/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2015/2014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1° sem. 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proofErr w:type="spellStart"/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Variazione</w:t>
            </w:r>
            <w:proofErr w:type="spellEnd"/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1° sem. 2016/2015</w:t>
            </w:r>
          </w:p>
        </w:tc>
      </w:tr>
      <w:tr w:rsidR="00D73945" w:rsidRPr="00D73945" w:rsidTr="001029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Import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55.768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58.588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iCs/>
                <w:sz w:val="20"/>
                <w:szCs w:val="20"/>
              </w:rPr>
              <w:t>59.940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60.152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iCs/>
                <w:sz w:val="20"/>
                <w:szCs w:val="20"/>
              </w:rPr>
              <w:t>64.360,7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iCs/>
                <w:sz w:val="20"/>
                <w:szCs w:val="20"/>
              </w:rPr>
              <w:t>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iCs/>
                <w:sz w:val="20"/>
                <w:szCs w:val="20"/>
              </w:rPr>
              <w:t>32.467,8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iCs/>
                <w:sz w:val="20"/>
                <w:szCs w:val="20"/>
              </w:rPr>
              <w:t>3,9</w:t>
            </w:r>
          </w:p>
        </w:tc>
      </w:tr>
      <w:tr w:rsidR="00D73945" w:rsidRPr="00D73945" w:rsidTr="001029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Export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val="fr-FR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  <w:lang w:val="fr-FR"/>
              </w:rPr>
              <w:t>56.783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val="fr-FR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  <w:lang w:val="fr-FR"/>
              </w:rPr>
              <w:t>62.144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</w:pPr>
            <w:r w:rsidRPr="00D73945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64.172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val="fr-FR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  <w:lang w:val="fr-FR"/>
              </w:rPr>
              <w:t>64.801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</w:pPr>
            <w:r w:rsidRPr="00D73945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67.679,9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</w:pPr>
            <w:r w:rsidRPr="00D73945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</w:pPr>
            <w:r w:rsidRPr="00D73945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34.791,8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</w:pPr>
            <w:r w:rsidRPr="00D73945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3,7</w:t>
            </w:r>
          </w:p>
        </w:tc>
      </w:tr>
      <w:tr w:rsidR="00D73945" w:rsidRPr="00D73945" w:rsidTr="001029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</w:pPr>
            <w:proofErr w:type="spellStart"/>
            <w:r w:rsidRPr="00D73945">
              <w:rPr>
                <w:rFonts w:ascii="Times New Roman" w:hAnsi="Times New Roman" w:cs="Times New Roman"/>
                <w:b/>
                <w:sz w:val="20"/>
                <w:szCs w:val="20"/>
                <w:lang w:val="fr-FR"/>
              </w:rPr>
              <w:t>Saldo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1.015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3.556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iCs/>
                <w:sz w:val="20"/>
                <w:szCs w:val="20"/>
              </w:rPr>
              <w:t>4.232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4.649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iCs/>
                <w:sz w:val="20"/>
                <w:szCs w:val="20"/>
              </w:rPr>
              <w:t>3.319,2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i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iCs/>
                <w:sz w:val="20"/>
                <w:szCs w:val="20"/>
              </w:rPr>
              <w:t>2.324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pStyle w:val="Corpodeltesto"/>
              <w:tabs>
                <w:tab w:val="num" w:pos="0"/>
              </w:tabs>
              <w:jc w:val="righ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iCs/>
                <w:sz w:val="20"/>
                <w:szCs w:val="20"/>
              </w:rPr>
              <w:t>-</w:t>
            </w:r>
          </w:p>
        </w:tc>
      </w:tr>
    </w:tbl>
    <w:p w:rsidR="00D73945" w:rsidRPr="00D73945" w:rsidRDefault="00D73945" w:rsidP="00D73945">
      <w:pPr>
        <w:pStyle w:val="Corpodeltesto"/>
        <w:tabs>
          <w:tab w:val="num" w:pos="0"/>
        </w:tabs>
        <w:spacing w:before="120" w:line="260" w:lineRule="exact"/>
        <w:rPr>
          <w:rFonts w:ascii="Times New Roman" w:hAnsi="Times New Roman" w:cs="Times New Roman"/>
          <w:iCs/>
          <w:sz w:val="16"/>
          <w:szCs w:val="16"/>
          <w:lang w:val="it-IT"/>
        </w:rPr>
      </w:pPr>
      <w:proofErr w:type="gramStart"/>
      <w:r w:rsidRPr="00D73945">
        <w:rPr>
          <w:rFonts w:ascii="Times New Roman" w:hAnsi="Times New Roman" w:cs="Times New Roman"/>
          <w:i/>
          <w:sz w:val="16"/>
          <w:szCs w:val="16"/>
          <w:lang w:val="it-IT"/>
        </w:rPr>
        <w:t>FONTE: elaborazione Ambasciata d’Italia su dati dell’Istituto Statistico della Repubblica Slovacca e della Banca Nazionale Slovacca</w:t>
      </w:r>
      <w:proofErr w:type="gramEnd"/>
    </w:p>
    <w:p w:rsidR="00D73945" w:rsidRPr="00D73945" w:rsidRDefault="00D73945" w:rsidP="00D73945">
      <w:pPr>
        <w:pStyle w:val="Corpodeltesto"/>
        <w:tabs>
          <w:tab w:val="num" w:pos="0"/>
        </w:tabs>
        <w:spacing w:line="260" w:lineRule="exact"/>
        <w:rPr>
          <w:rFonts w:ascii="Times New Roman" w:hAnsi="Times New Roman" w:cs="Times New Roman"/>
          <w:iCs/>
          <w:sz w:val="16"/>
          <w:szCs w:val="16"/>
          <w:lang w:val="it-IT"/>
        </w:rPr>
      </w:pPr>
    </w:p>
    <w:p w:rsidR="00D73945" w:rsidRPr="00D73945" w:rsidRDefault="00D73945" w:rsidP="00D73945">
      <w:pPr>
        <w:pStyle w:val="Corpodeltesto2"/>
        <w:tabs>
          <w:tab w:val="num" w:pos="0"/>
        </w:tabs>
        <w:rPr>
          <w:rFonts w:ascii="Times New Roman" w:hAnsi="Times New Roman" w:cs="Times New Roman"/>
          <w:b/>
          <w:bCs/>
          <w:noProof/>
          <w:u w:val="single"/>
          <w:lang w:val="it-IT"/>
        </w:rPr>
      </w:pPr>
      <w:r w:rsidRPr="00D73945">
        <w:rPr>
          <w:rFonts w:ascii="Times New Roman" w:hAnsi="Times New Roman" w:cs="Times New Roman"/>
          <w:b/>
          <w:bCs/>
          <w:noProof/>
          <w:u w:val="single"/>
          <w:lang w:val="it-IT"/>
        </w:rPr>
        <w:t>Principali paesi fornitori della Slovacchia</w:t>
      </w:r>
    </w:p>
    <w:p w:rsidR="00D73945" w:rsidRPr="00D73945" w:rsidRDefault="00D73945" w:rsidP="00D7394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73945">
        <w:rPr>
          <w:rFonts w:ascii="Times New Roman" w:hAnsi="Times New Roman" w:cs="Times New Roman"/>
          <w:b/>
          <w:noProof/>
          <w:sz w:val="24"/>
          <w:szCs w:val="24"/>
        </w:rPr>
        <w:t>Tra i Paesi fornitori, nel primo semsetre 2016</w:t>
      </w:r>
      <w:r w:rsidRPr="00D73945">
        <w:rPr>
          <w:rFonts w:ascii="Times New Roman" w:hAnsi="Times New Roman" w:cs="Times New Roman"/>
          <w:noProof/>
          <w:sz w:val="24"/>
          <w:szCs w:val="24"/>
        </w:rPr>
        <w:t xml:space="preserve"> in prima posizione nella graduatoria si conferma la Germania, con un incremento delle esportazioni verso la Slovacchia del 9,1% e con una quota di mercato del 16,4%, seguita dalla Repubblica Ceca, </w:t>
      </w:r>
      <w:r w:rsidRPr="00D73945">
        <w:rPr>
          <w:rFonts w:ascii="Times New Roman" w:hAnsi="Times New Roman" w:cs="Times New Roman"/>
          <w:sz w:val="24"/>
          <w:szCs w:val="24"/>
        </w:rPr>
        <w:t xml:space="preserve">che registra un aumento delle </w:t>
      </w:r>
      <w:proofErr w:type="gramStart"/>
      <w:r w:rsidRPr="00D73945">
        <w:rPr>
          <w:rFonts w:ascii="Times New Roman" w:hAnsi="Times New Roman" w:cs="Times New Roman"/>
          <w:sz w:val="24"/>
          <w:szCs w:val="24"/>
        </w:rPr>
        <w:t>proprie</w:t>
      </w:r>
      <w:proofErr w:type="gramEnd"/>
      <w:r w:rsidRPr="00D739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73945">
        <w:rPr>
          <w:rFonts w:ascii="Times New Roman" w:hAnsi="Times New Roman" w:cs="Times New Roman"/>
          <w:sz w:val="24"/>
          <w:szCs w:val="24"/>
        </w:rPr>
        <w:t>esportazioni</w:t>
      </w:r>
      <w:proofErr w:type="gramEnd"/>
      <w:r w:rsidRPr="00D73945">
        <w:rPr>
          <w:rFonts w:ascii="Times New Roman" w:hAnsi="Times New Roman" w:cs="Times New Roman"/>
          <w:sz w:val="24"/>
          <w:szCs w:val="24"/>
        </w:rPr>
        <w:t xml:space="preserve"> dello 0,9% e quota di mercato del 10,7</w:t>
      </w:r>
      <w:r w:rsidRPr="00D73945">
        <w:rPr>
          <w:rFonts w:ascii="Times New Roman" w:hAnsi="Times New Roman" w:cs="Times New Roman"/>
          <w:noProof/>
          <w:sz w:val="24"/>
          <w:szCs w:val="24"/>
        </w:rPr>
        <w:t xml:space="preserve">%, alla terza posizione si colloca la Cina (+8,3%, quota di mercato 8,2%), seguita da Corea (esportazioni -3,8%, quota di mercato 6,1%), Polonia (variazione 1,4%, quota 5,0%), Ungheria (variazione 5,6%, quota 4,7%) e Federazione Russa (variazione -35,3%, quota 3,7%) . </w:t>
      </w:r>
      <w:r w:rsidRPr="00D73945">
        <w:rPr>
          <w:rFonts w:ascii="Times New Roman" w:hAnsi="Times New Roman" w:cs="Times New Roman"/>
          <w:b/>
          <w:noProof/>
          <w:sz w:val="24"/>
          <w:szCs w:val="24"/>
        </w:rPr>
        <w:t>L’</w:t>
      </w:r>
      <w:r w:rsidRPr="00D73945">
        <w:rPr>
          <w:rFonts w:ascii="Times New Roman" w:hAnsi="Times New Roman" w:cs="Times New Roman"/>
          <w:b/>
          <w:bCs/>
          <w:noProof/>
          <w:sz w:val="24"/>
          <w:szCs w:val="24"/>
        </w:rPr>
        <w:t>Italia</w:t>
      </w:r>
      <w:r w:rsidRPr="00D73945">
        <w:rPr>
          <w:rFonts w:ascii="Times New Roman" w:hAnsi="Times New Roman" w:cs="Times New Roman"/>
          <w:b/>
          <w:noProof/>
          <w:sz w:val="24"/>
          <w:szCs w:val="24"/>
        </w:rPr>
        <w:t xml:space="preserve"> conserva </w:t>
      </w:r>
      <w:r w:rsidRPr="00D73945">
        <w:rPr>
          <w:rFonts w:ascii="Times New Roman" w:hAnsi="Times New Roman" w:cs="Times New Roman"/>
          <w:b/>
          <w:bCs/>
          <w:noProof/>
          <w:sz w:val="24"/>
          <w:szCs w:val="24"/>
        </w:rPr>
        <w:t>l’ottavo posto</w:t>
      </w:r>
      <w:r w:rsidRPr="00D73945">
        <w:rPr>
          <w:rFonts w:ascii="Times New Roman" w:hAnsi="Times New Roman" w:cs="Times New Roman"/>
          <w:b/>
          <w:noProof/>
          <w:sz w:val="24"/>
          <w:szCs w:val="24"/>
        </w:rPr>
        <w:t xml:space="preserve">, con una quota del 3,2% delle importazioni slovacche e la variazione rispetto allo stesso periodo dell’anno precedente del -4,4%. </w:t>
      </w:r>
      <w:r w:rsidRPr="00D73945">
        <w:rPr>
          <w:rFonts w:ascii="Times New Roman" w:hAnsi="Times New Roman" w:cs="Times New Roman"/>
          <w:bCs/>
        </w:rPr>
        <w:t xml:space="preserve">Al nono posto si </w:t>
      </w:r>
      <w:proofErr w:type="gramStart"/>
      <w:r w:rsidRPr="00D73945">
        <w:rPr>
          <w:rFonts w:ascii="Times New Roman" w:hAnsi="Times New Roman" w:cs="Times New Roman"/>
          <w:bCs/>
        </w:rPr>
        <w:t>posiziona</w:t>
      </w:r>
      <w:proofErr w:type="gramEnd"/>
      <w:r w:rsidRPr="00D73945">
        <w:rPr>
          <w:rFonts w:ascii="Times New Roman" w:hAnsi="Times New Roman" w:cs="Times New Roman"/>
          <w:bCs/>
        </w:rPr>
        <w:t xml:space="preserve"> la Francia, con il suo export diminuito del 5,6% e una quota del 3,2% delle importazioni slovacche. Al decimo posto dei principali Paesi fornitori si colloca l’Austria, con un aumento delle esportazioni del 14,4% </w:t>
      </w:r>
      <w:proofErr w:type="gramStart"/>
      <w:r w:rsidRPr="00D73945">
        <w:rPr>
          <w:rFonts w:ascii="Times New Roman" w:hAnsi="Times New Roman" w:cs="Times New Roman"/>
          <w:bCs/>
        </w:rPr>
        <w:t>ed</w:t>
      </w:r>
      <w:proofErr w:type="gramEnd"/>
      <w:r w:rsidRPr="00D73945">
        <w:rPr>
          <w:rFonts w:ascii="Times New Roman" w:hAnsi="Times New Roman" w:cs="Times New Roman"/>
          <w:bCs/>
        </w:rPr>
        <w:t xml:space="preserve"> una quota di mercato pari al 2,9%. </w:t>
      </w:r>
    </w:p>
    <w:p w:rsidR="00D73945" w:rsidRPr="00D73945" w:rsidRDefault="00D73945" w:rsidP="00D73945">
      <w:pPr>
        <w:pStyle w:val="Corpodeltesto"/>
        <w:tabs>
          <w:tab w:val="num" w:pos="0"/>
        </w:tabs>
        <w:rPr>
          <w:rFonts w:ascii="Times New Roman" w:hAnsi="Times New Roman" w:cs="Times New Roman"/>
          <w:b/>
          <w:lang w:val="it-IT"/>
        </w:rPr>
      </w:pPr>
    </w:p>
    <w:p w:rsidR="00D73945" w:rsidRPr="00D73945" w:rsidRDefault="00D73945" w:rsidP="00D73945">
      <w:pPr>
        <w:pStyle w:val="Corpodeltesto"/>
        <w:tabs>
          <w:tab w:val="num" w:pos="0"/>
        </w:tabs>
        <w:jc w:val="center"/>
        <w:rPr>
          <w:rFonts w:ascii="Times New Roman" w:hAnsi="Times New Roman" w:cs="Times New Roman"/>
          <w:b/>
        </w:rPr>
      </w:pPr>
      <w:proofErr w:type="spellStart"/>
      <w:r w:rsidRPr="00D73945">
        <w:rPr>
          <w:rFonts w:ascii="Times New Roman" w:hAnsi="Times New Roman" w:cs="Times New Roman"/>
          <w:b/>
        </w:rPr>
        <w:t>Importazioni</w:t>
      </w:r>
      <w:proofErr w:type="spellEnd"/>
      <w:r w:rsidRPr="00D73945">
        <w:rPr>
          <w:rFonts w:ascii="Times New Roman" w:hAnsi="Times New Roman" w:cs="Times New Roman"/>
          <w:b/>
        </w:rPr>
        <w:t xml:space="preserve"> </w:t>
      </w:r>
      <w:proofErr w:type="spellStart"/>
      <w:r w:rsidRPr="00D73945">
        <w:rPr>
          <w:rFonts w:ascii="Times New Roman" w:hAnsi="Times New Roman" w:cs="Times New Roman"/>
          <w:b/>
        </w:rPr>
        <w:t>slovacche</w:t>
      </w:r>
      <w:proofErr w:type="spellEnd"/>
      <w:r w:rsidRPr="00D73945">
        <w:rPr>
          <w:rFonts w:ascii="Times New Roman" w:hAnsi="Times New Roman" w:cs="Times New Roman"/>
          <w:b/>
        </w:rPr>
        <w:t xml:space="preserve">:  </w:t>
      </w:r>
      <w:proofErr w:type="spellStart"/>
      <w:r w:rsidRPr="00D73945">
        <w:rPr>
          <w:rFonts w:ascii="Times New Roman" w:hAnsi="Times New Roman" w:cs="Times New Roman"/>
          <w:b/>
        </w:rPr>
        <w:t>Paesi</w:t>
      </w:r>
      <w:proofErr w:type="spellEnd"/>
      <w:r w:rsidRPr="00D73945">
        <w:rPr>
          <w:rFonts w:ascii="Times New Roman" w:hAnsi="Times New Roman" w:cs="Times New Roman"/>
          <w:b/>
        </w:rPr>
        <w:t xml:space="preserve"> </w:t>
      </w:r>
      <w:proofErr w:type="spellStart"/>
      <w:r w:rsidRPr="00D73945">
        <w:rPr>
          <w:rFonts w:ascii="Times New Roman" w:hAnsi="Times New Roman" w:cs="Times New Roman"/>
          <w:b/>
        </w:rPr>
        <w:t>fornitori</w:t>
      </w:r>
      <w:proofErr w:type="spellEnd"/>
    </w:p>
    <w:tbl>
      <w:tblPr>
        <w:tblpPr w:leftFromText="141" w:rightFromText="141" w:vertAnchor="text" w:horzAnchor="margin" w:tblpY="38"/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14"/>
        <w:gridCol w:w="783"/>
        <w:gridCol w:w="850"/>
        <w:gridCol w:w="992"/>
        <w:gridCol w:w="993"/>
        <w:gridCol w:w="992"/>
        <w:gridCol w:w="1134"/>
        <w:gridCol w:w="1276"/>
        <w:gridCol w:w="992"/>
      </w:tblGrid>
      <w:tr w:rsidR="00D73945" w:rsidRPr="00D73945" w:rsidTr="00102909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Dati in milioni di Euro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73945" w:rsidRPr="00D73945" w:rsidRDefault="00D73945" w:rsidP="00102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2011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73945" w:rsidRPr="00D73945" w:rsidRDefault="00D73945" w:rsidP="00102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  <w:p w:rsidR="00D73945" w:rsidRPr="00D73945" w:rsidRDefault="00D73945" w:rsidP="00102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73945" w:rsidRPr="00D73945" w:rsidRDefault="00D73945" w:rsidP="00102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73945" w:rsidRPr="00D73945" w:rsidRDefault="00D73945" w:rsidP="00102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</w:p>
          <w:p w:rsidR="00D73945" w:rsidRPr="00D73945" w:rsidRDefault="00D73945" w:rsidP="00102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2014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D73945" w:rsidRPr="00D73945" w:rsidRDefault="00D73945" w:rsidP="00102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1° semestre 2016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Variazione 1° </w:t>
            </w:r>
            <w:proofErr w:type="spellStart"/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sem</w:t>
            </w:r>
            <w:proofErr w:type="spellEnd"/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.2016 / 1° </w:t>
            </w:r>
            <w:proofErr w:type="spellStart"/>
            <w:proofErr w:type="gramStart"/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sem</w:t>
            </w:r>
            <w:proofErr w:type="spellEnd"/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proofErr w:type="gramEnd"/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2015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Quota sul totale</w:t>
            </w:r>
          </w:p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  <w:tr w:rsidR="00D73945" w:rsidRPr="00D73945" w:rsidTr="00102909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ind w:right="-251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Germania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8.951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9.868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9.462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8.947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9.800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5.312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16,4</w:t>
            </w:r>
          </w:p>
        </w:tc>
      </w:tr>
      <w:tr w:rsidR="00D73945" w:rsidRPr="00D73945" w:rsidTr="00102909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Rep. Ceca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5.730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5.728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6.529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6.285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7.005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3.489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10,7</w:t>
            </w:r>
          </w:p>
        </w:tc>
      </w:tr>
      <w:tr w:rsidR="00D73945" w:rsidRPr="00D73945" w:rsidTr="00102909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Cina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3.320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3.660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4.444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4.645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5.430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2.651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8,2</w:t>
            </w:r>
          </w:p>
        </w:tc>
      </w:tr>
      <w:tr w:rsidR="00D73945" w:rsidRPr="00D73945" w:rsidTr="00102909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Corea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4.185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5.602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5.171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4.379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4.253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1.979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-3,8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6,1</w:t>
            </w:r>
          </w:p>
        </w:tc>
      </w:tr>
      <w:tr w:rsidR="00D73945" w:rsidRPr="00D73945" w:rsidTr="00102909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Polonia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2.206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2.169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2.901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2.863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3.173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1.627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5,0</w:t>
            </w:r>
          </w:p>
        </w:tc>
      </w:tr>
      <w:tr w:rsidR="00D73945" w:rsidRPr="00D73945" w:rsidTr="00102909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Ungheria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2.218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2.153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2.667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2.817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3.166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1.538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4,7</w:t>
            </w:r>
          </w:p>
        </w:tc>
      </w:tr>
      <w:tr w:rsidR="00D73945" w:rsidRPr="00D73945" w:rsidTr="00102909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Fed. Russa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6.183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5.933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  <w:lang w:val="en-US"/>
              </w:rPr>
              <w:t>6.139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4.913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3.486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1.208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-35,3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3,7</w:t>
            </w:r>
          </w:p>
        </w:tc>
      </w:tr>
      <w:tr w:rsidR="00D73945" w:rsidRPr="00D73945" w:rsidTr="00102909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Italia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1.829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1.803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1.899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1.916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2.099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1.052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-4,4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3,2</w:t>
            </w:r>
          </w:p>
        </w:tc>
      </w:tr>
      <w:tr w:rsidR="00D73945" w:rsidRPr="00D73945" w:rsidTr="00102909">
        <w:trPr>
          <w:trHeight w:val="198"/>
        </w:trPr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Francia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1.829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1.716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1.687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1.801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2.089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1.042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-5,6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3,2</w:t>
            </w:r>
          </w:p>
        </w:tc>
      </w:tr>
      <w:tr w:rsidR="00D73945" w:rsidRPr="00D73945" w:rsidTr="00102909"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ind w:right="-231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Austria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1.330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1.361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1.535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1.530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1.620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93332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2,9</w:t>
            </w:r>
          </w:p>
        </w:tc>
      </w:tr>
    </w:tbl>
    <w:p w:rsidR="00D73945" w:rsidRPr="00D73945" w:rsidRDefault="00D73945" w:rsidP="00D73945">
      <w:pPr>
        <w:pStyle w:val="Didascalia"/>
        <w:tabs>
          <w:tab w:val="num" w:pos="0"/>
        </w:tabs>
        <w:rPr>
          <w:sz w:val="16"/>
          <w:szCs w:val="16"/>
        </w:rPr>
      </w:pPr>
      <w:r w:rsidRPr="00D73945">
        <w:rPr>
          <w:sz w:val="16"/>
          <w:szCs w:val="16"/>
        </w:rPr>
        <w:t>FONTE: elaborazione Ambasciata d’Italia su dati dell’Istituto Statistico della Repubblica Slovacca</w:t>
      </w:r>
    </w:p>
    <w:p w:rsidR="00D73945" w:rsidRDefault="00D73945" w:rsidP="00D73945">
      <w:pPr>
        <w:pStyle w:val="Corpodeltesto2"/>
        <w:spacing w:before="120" w:line="260" w:lineRule="exact"/>
        <w:rPr>
          <w:rFonts w:ascii="Times New Roman" w:hAnsi="Times New Roman" w:cs="Times New Roman"/>
          <w:b/>
          <w:bCs/>
          <w:noProof/>
          <w:u w:val="single"/>
          <w:lang w:val="it-IT"/>
        </w:rPr>
      </w:pPr>
    </w:p>
    <w:p w:rsidR="00D73945" w:rsidRPr="00D73945" w:rsidRDefault="00D73945" w:rsidP="00D73945">
      <w:pPr>
        <w:pStyle w:val="Corpodeltesto2"/>
        <w:spacing w:before="120" w:line="260" w:lineRule="exact"/>
        <w:rPr>
          <w:rFonts w:ascii="Times New Roman" w:hAnsi="Times New Roman" w:cs="Times New Roman"/>
          <w:b/>
          <w:bCs/>
          <w:noProof/>
          <w:u w:val="single"/>
          <w:lang w:val="it-IT"/>
        </w:rPr>
      </w:pPr>
      <w:r w:rsidRPr="00D73945">
        <w:rPr>
          <w:rFonts w:ascii="Times New Roman" w:hAnsi="Times New Roman" w:cs="Times New Roman"/>
          <w:b/>
          <w:bCs/>
          <w:noProof/>
          <w:u w:val="single"/>
          <w:lang w:val="it-IT"/>
        </w:rPr>
        <w:lastRenderedPageBreak/>
        <w:t>Principali paesi clienti della Slovacchia</w:t>
      </w:r>
    </w:p>
    <w:p w:rsidR="00D73945" w:rsidRDefault="00D73945" w:rsidP="00D73945">
      <w:pPr>
        <w:pStyle w:val="Corpodeltesto2"/>
        <w:rPr>
          <w:rFonts w:ascii="Times New Roman" w:hAnsi="Times New Roman" w:cs="Times New Roman"/>
          <w:noProof/>
          <w:lang w:val="it-IT"/>
        </w:rPr>
      </w:pPr>
      <w:r w:rsidRPr="00D73945">
        <w:rPr>
          <w:rFonts w:ascii="Times New Roman" w:hAnsi="Times New Roman" w:cs="Times New Roman"/>
          <w:b/>
          <w:noProof/>
          <w:lang w:val="it-IT"/>
        </w:rPr>
        <w:t>Tra i Paesi clienti, nel primo semestre del 2016</w:t>
      </w:r>
      <w:r w:rsidRPr="00D73945">
        <w:rPr>
          <w:rFonts w:ascii="Times New Roman" w:hAnsi="Times New Roman" w:cs="Times New Roman"/>
          <w:noProof/>
          <w:lang w:val="it-IT"/>
        </w:rPr>
        <w:t xml:space="preserve"> il principale mercato di sbocco delle esportazioni slovacche è la Germania, con una significativa quota del 22,6% sul totale, con un aumento del 3,9% rispetto allo stesso periodo del 2015. Al secondo posto si colloca la Repubblica Ceca, con una quota dell’11,4% e con una crescita  dell’export dello 0,3%. Al terzo posto la Polonia, con una quota del 7,6% e una diminuzione di ordini del 2,0%, seguita dalla Francia, con un aumento dell’export del 15,5% ed una quota di mercato del 6,4%. Al quinto posto si colloca il Regno Unito, partecipando al totale con una quota del 6,0% e con una crescita delle sue importazioni dalla Slovacchia del 13,9%, seguita dall’Austria, con una diminuzione dell’1,7% e quota di mercato pari al 5,4% . </w:t>
      </w:r>
      <w:r w:rsidRPr="00D73945">
        <w:rPr>
          <w:rFonts w:ascii="Times New Roman" w:hAnsi="Times New Roman" w:cs="Times New Roman"/>
          <w:b/>
          <w:noProof/>
          <w:lang w:val="it-IT"/>
        </w:rPr>
        <w:t xml:space="preserve">L´Italia si colloca </w:t>
      </w:r>
      <w:r w:rsidRPr="00D73945">
        <w:rPr>
          <w:rFonts w:ascii="Times New Roman" w:hAnsi="Times New Roman" w:cs="Times New Roman"/>
          <w:b/>
          <w:lang w:val="it-IT"/>
        </w:rPr>
        <w:t>anche in questo caso</w:t>
      </w:r>
      <w:r w:rsidRPr="00D73945">
        <w:rPr>
          <w:rFonts w:ascii="Times New Roman" w:hAnsi="Times New Roman" w:cs="Times New Roman"/>
          <w:lang w:val="it-IT"/>
        </w:rPr>
        <w:t xml:space="preserve"> </w:t>
      </w:r>
      <w:r w:rsidRPr="00D73945">
        <w:rPr>
          <w:rFonts w:ascii="Times New Roman" w:hAnsi="Times New Roman" w:cs="Times New Roman"/>
          <w:b/>
          <w:noProof/>
          <w:lang w:val="it-IT"/>
        </w:rPr>
        <w:t>in ottava posizione</w:t>
      </w:r>
      <w:r w:rsidRPr="00D73945">
        <w:rPr>
          <w:rFonts w:ascii="Times New Roman" w:hAnsi="Times New Roman" w:cs="Times New Roman"/>
          <w:noProof/>
          <w:lang w:val="it-IT"/>
        </w:rPr>
        <w:t xml:space="preserve">, </w:t>
      </w:r>
      <w:r w:rsidRPr="00D73945">
        <w:rPr>
          <w:rFonts w:ascii="Times New Roman" w:hAnsi="Times New Roman" w:cs="Times New Roman"/>
          <w:b/>
          <w:noProof/>
          <w:lang w:val="it-IT"/>
        </w:rPr>
        <w:t>con una quota del 4,9% delle esportazioni slovacche, ed un aumento delle stesse del 6,0% rispetto allo stesso periodo dell’anno 2015</w:t>
      </w:r>
      <w:r w:rsidRPr="00D73945">
        <w:rPr>
          <w:rFonts w:ascii="Times New Roman" w:hAnsi="Times New Roman" w:cs="Times New Roman"/>
          <w:noProof/>
          <w:lang w:val="it-IT"/>
        </w:rPr>
        <w:t>. Le esportazioni verso la Spagna hanno registrato invece un significativo aumento del 23,0%, ed una quota del 3,3%, seguita dai Paesi Bassi, con un incremento di ordini del 20,5% ed una quota che copre il 2,7% delle vendite slovacche all´estero.</w:t>
      </w:r>
    </w:p>
    <w:p w:rsidR="00D73945" w:rsidRPr="00D73945" w:rsidRDefault="00D73945" w:rsidP="00D73945">
      <w:pPr>
        <w:pStyle w:val="Corpodeltesto2"/>
        <w:rPr>
          <w:rFonts w:ascii="Times New Roman" w:hAnsi="Times New Roman" w:cs="Times New Roman"/>
          <w:noProof/>
          <w:lang w:val="it-IT"/>
        </w:rPr>
      </w:pPr>
    </w:p>
    <w:p w:rsidR="00D73945" w:rsidRPr="00D73945" w:rsidRDefault="00D73945" w:rsidP="00D73945">
      <w:pPr>
        <w:pStyle w:val="Titolo4"/>
        <w:tabs>
          <w:tab w:val="left" w:pos="0"/>
          <w:tab w:val="left" w:pos="1080"/>
        </w:tabs>
        <w:jc w:val="center"/>
        <w:rPr>
          <w:rFonts w:ascii="Times New Roman" w:hAnsi="Times New Roman" w:cs="Times New Roman"/>
          <w:noProof/>
          <w:lang w:val="it-IT"/>
        </w:rPr>
      </w:pPr>
      <w:r w:rsidRPr="00D73945">
        <w:rPr>
          <w:rFonts w:ascii="Times New Roman" w:hAnsi="Times New Roman" w:cs="Times New Roman"/>
          <w:noProof/>
          <w:lang w:val="it-IT"/>
        </w:rPr>
        <w:t>Esportazioni slovacche: Principali Paesi clienti</w:t>
      </w:r>
    </w:p>
    <w:tbl>
      <w:tblPr>
        <w:tblpPr w:leftFromText="141" w:rightFromText="141" w:vertAnchor="text" w:horzAnchor="margin" w:tblpX="70" w:tblpY="68"/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30"/>
        <w:gridCol w:w="711"/>
        <w:gridCol w:w="990"/>
        <w:gridCol w:w="992"/>
        <w:gridCol w:w="850"/>
        <w:gridCol w:w="993"/>
        <w:gridCol w:w="1134"/>
        <w:gridCol w:w="1275"/>
        <w:gridCol w:w="1134"/>
      </w:tblGrid>
      <w:tr w:rsidR="00D73945" w:rsidRPr="00D73945" w:rsidTr="00102909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Dati in milioni di Euro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</w:pPr>
          </w:p>
          <w:p w:rsidR="00D73945" w:rsidRPr="00D73945" w:rsidRDefault="00D73945" w:rsidP="00102909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  <w:t>2011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</w:pPr>
          </w:p>
          <w:p w:rsidR="00D73945" w:rsidRPr="00D73945" w:rsidRDefault="00D73945" w:rsidP="00102909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  <w:t>2012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</w:pPr>
          </w:p>
          <w:p w:rsidR="00D73945" w:rsidRPr="00D73945" w:rsidRDefault="00D73945" w:rsidP="00102909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</w:pPr>
          </w:p>
          <w:p w:rsidR="00D73945" w:rsidRPr="00D73945" w:rsidRDefault="00D73945" w:rsidP="00102909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  <w:t>2014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</w:pPr>
          </w:p>
          <w:p w:rsidR="00D73945" w:rsidRPr="00D73945" w:rsidRDefault="00D73945" w:rsidP="00102909">
            <w:pPr>
              <w:spacing w:after="0" w:line="240" w:lineRule="auto"/>
              <w:jc w:val="center"/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Style w:val="Enfasigrassetto"/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1° semestre 2016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Variazione 1° </w:t>
            </w:r>
            <w:proofErr w:type="spellStart"/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sem</w:t>
            </w:r>
            <w:proofErr w:type="spellEnd"/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.2016 / 1° </w:t>
            </w:r>
            <w:proofErr w:type="spellStart"/>
            <w:proofErr w:type="gramStart"/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sem</w:t>
            </w:r>
            <w:proofErr w:type="spellEnd"/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</w:t>
            </w:r>
            <w:proofErr w:type="gramEnd"/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Quota sul totale</w:t>
            </w:r>
          </w:p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%</w:t>
            </w:r>
          </w:p>
        </w:tc>
      </w:tr>
      <w:tr w:rsidR="00D73945" w:rsidRPr="00D73945" w:rsidTr="00102909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Germania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pStyle w:val="Intestazione"/>
              <w:tabs>
                <w:tab w:val="left" w:pos="720"/>
              </w:tabs>
              <w:jc w:val="right"/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11.511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7394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13.391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13.392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14.332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15.392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7.863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22,6</w:t>
            </w:r>
          </w:p>
        </w:tc>
      </w:tr>
      <w:tr w:rsidR="00D73945" w:rsidRPr="00D73945" w:rsidTr="00102909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Rep. Ceca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8.247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8.864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8.669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8.294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8.436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4.060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-0,3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11,7</w:t>
            </w:r>
          </w:p>
        </w:tc>
      </w:tr>
      <w:tr w:rsidR="00D73945" w:rsidRPr="00D73945" w:rsidTr="00102909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Polonia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4.140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7394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5.068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5.295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5.200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5.6221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2.661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-2.</w:t>
            </w:r>
            <w:proofErr w:type="gramStart"/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0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7,6</w:t>
            </w:r>
          </w:p>
        </w:tc>
      </w:tr>
      <w:tr w:rsidR="00D73945" w:rsidRPr="00D73945" w:rsidTr="00102909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Francia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3.631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7394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3.387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3.196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3.203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3.832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2.232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6,4</w:t>
            </w:r>
          </w:p>
        </w:tc>
      </w:tr>
      <w:tr w:rsidR="00D73945" w:rsidRPr="00D73945" w:rsidTr="00102909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Regno Unito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2.043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7394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2.490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2.910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3.363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3.756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2.082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6,0</w:t>
            </w:r>
          </w:p>
        </w:tc>
      </w:tr>
      <w:tr w:rsidR="00D73945" w:rsidRPr="00D73945" w:rsidTr="00102909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Austria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3.994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7394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4.159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3.977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3.967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3.863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1.872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-1,7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5,4</w:t>
            </w:r>
          </w:p>
        </w:tc>
      </w:tr>
      <w:tr w:rsidR="00D73945" w:rsidRPr="00D73945" w:rsidTr="00102909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Ungheria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4.076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4.470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4.070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3.955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3.787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1.773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-4,6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5,1</w:t>
            </w:r>
          </w:p>
        </w:tc>
      </w:tr>
      <w:tr w:rsidR="00D73945" w:rsidRPr="00D73945" w:rsidTr="00102909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Italia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bCs/>
                <w:i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/>
                <w:bCs/>
                <w:i/>
                <w:sz w:val="20"/>
                <w:szCs w:val="20"/>
              </w:rPr>
              <w:t>2.823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 w:eastAsia="it-IT"/>
              </w:rPr>
            </w:pPr>
            <w:r w:rsidRPr="00D73945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it-IT" w:eastAsia="it-IT"/>
              </w:rPr>
              <w:t>2.880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2.921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2.958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3.067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1.696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/>
                <w:i/>
                <w:sz w:val="20"/>
                <w:szCs w:val="20"/>
              </w:rPr>
              <w:t>4,9</w:t>
            </w:r>
          </w:p>
        </w:tc>
      </w:tr>
      <w:tr w:rsidR="00D73945" w:rsidRPr="00D73945" w:rsidTr="00102909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Spagna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7394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1.399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1.870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1.134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3,3</w:t>
            </w:r>
          </w:p>
        </w:tc>
      </w:tr>
      <w:tr w:rsidR="00D73945" w:rsidRPr="00D73945" w:rsidTr="00102909"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Paesi Bassi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1.371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pStyle w:val="CM20"/>
              <w:widowControl/>
              <w:autoSpaceDE/>
              <w:autoSpaceDN/>
              <w:adjustRightInd/>
              <w:spacing w:after="0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</w:pPr>
            <w:r w:rsidRPr="00D73945"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it-IT" w:eastAsia="it-IT"/>
              </w:rPr>
              <w:t>1.418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bCs/>
                <w:sz w:val="20"/>
                <w:szCs w:val="20"/>
              </w:rPr>
              <w:t>1.496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1.643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1.662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934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20,5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eastAsia="Arial Unicode MS" w:hAnsi="Times New Roman" w:cs="Times New Roman"/>
                <w:sz w:val="20"/>
                <w:szCs w:val="20"/>
              </w:rPr>
              <w:t>2,7</w:t>
            </w:r>
          </w:p>
        </w:tc>
      </w:tr>
    </w:tbl>
    <w:p w:rsidR="00D73945" w:rsidRPr="00D73945" w:rsidRDefault="00D73945" w:rsidP="00D73945">
      <w:pPr>
        <w:pStyle w:val="Didascalia"/>
        <w:tabs>
          <w:tab w:val="num" w:pos="0"/>
        </w:tabs>
        <w:rPr>
          <w:sz w:val="16"/>
          <w:szCs w:val="16"/>
        </w:rPr>
      </w:pPr>
      <w:r w:rsidRPr="00D73945">
        <w:rPr>
          <w:sz w:val="16"/>
          <w:szCs w:val="16"/>
        </w:rPr>
        <w:t>FONTE: elaborazione Ambasciata d’Italia su dati dell’Istituto Statistico della Repubblica Slovacca</w:t>
      </w:r>
    </w:p>
    <w:p w:rsidR="00D73945" w:rsidRPr="00D73945" w:rsidRDefault="00D73945" w:rsidP="00D73945">
      <w:pPr>
        <w:pStyle w:val="Corpodeltesto2"/>
        <w:rPr>
          <w:rFonts w:ascii="Times New Roman" w:hAnsi="Times New Roman" w:cs="Times New Roman"/>
          <w:noProof/>
          <w:lang w:val="it-IT"/>
        </w:rPr>
      </w:pPr>
    </w:p>
    <w:p w:rsidR="00D73945" w:rsidRPr="00D73945" w:rsidRDefault="00D73945" w:rsidP="00D739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7394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Principali gruppi merceologici </w:t>
      </w:r>
    </w:p>
    <w:p w:rsidR="00D73945" w:rsidRPr="00D73945" w:rsidRDefault="00D73945" w:rsidP="00D7394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73945">
        <w:rPr>
          <w:rFonts w:ascii="Times New Roman" w:hAnsi="Times New Roman" w:cs="Times New Roman"/>
          <w:b/>
          <w:sz w:val="24"/>
          <w:szCs w:val="24"/>
        </w:rPr>
        <w:t>Nel primo semestre 2016</w:t>
      </w:r>
      <w:r w:rsidRPr="00D73945">
        <w:rPr>
          <w:rFonts w:ascii="Times New Roman" w:hAnsi="Times New Roman" w:cs="Times New Roman"/>
          <w:sz w:val="24"/>
          <w:szCs w:val="24"/>
        </w:rPr>
        <w:t xml:space="preserve"> si confermano al primo posto delle </w:t>
      </w:r>
      <w:r w:rsidRPr="00D73945">
        <w:rPr>
          <w:rFonts w:ascii="Times New Roman" w:hAnsi="Times New Roman" w:cs="Times New Roman"/>
          <w:b/>
          <w:sz w:val="24"/>
          <w:szCs w:val="24"/>
        </w:rPr>
        <w:t>importazioni slovacche</w:t>
      </w:r>
      <w:r w:rsidRPr="00D73945">
        <w:rPr>
          <w:rFonts w:ascii="Times New Roman" w:hAnsi="Times New Roman" w:cs="Times New Roman"/>
          <w:sz w:val="24"/>
          <w:szCs w:val="24"/>
        </w:rPr>
        <w:t xml:space="preserve"> i macchinari e veicoli, registrando un aumento del 10,0%, seguiti dai beni di consumo (+1,3%) e dai prodotti industriali (+6,9%). Le importazioni dei prodotti chimici, alla quarta posizione, sono incrementate del 7,8%, seguite, in quinta posizione, dai combustibili </w:t>
      </w:r>
      <w:proofErr w:type="gramStart"/>
      <w:r w:rsidRPr="00D73945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D73945">
        <w:rPr>
          <w:rFonts w:ascii="Times New Roman" w:hAnsi="Times New Roman" w:cs="Times New Roman"/>
          <w:sz w:val="24"/>
          <w:szCs w:val="24"/>
        </w:rPr>
        <w:t xml:space="preserve">in diminuzione del 30,8% rispetto allo stesso periodo dell’anno precedente) e dai prodotti alimentari  (+7,4%) in sesta posizione. Il settimo posto è occupato dalle materie prime (in diminuzione del 17,3%) e dalle bevande, in 8° posizione, con un aumento </w:t>
      </w:r>
      <w:proofErr w:type="gramStart"/>
      <w:r w:rsidRPr="00D73945">
        <w:rPr>
          <w:rFonts w:ascii="Times New Roman" w:hAnsi="Times New Roman" w:cs="Times New Roman"/>
          <w:sz w:val="24"/>
          <w:szCs w:val="24"/>
        </w:rPr>
        <w:t>dell’8,8%</w:t>
      </w:r>
      <w:proofErr w:type="gramEnd"/>
      <w:r w:rsidRPr="00D73945">
        <w:rPr>
          <w:rFonts w:ascii="Times New Roman" w:hAnsi="Times New Roman" w:cs="Times New Roman"/>
          <w:sz w:val="24"/>
          <w:szCs w:val="24"/>
        </w:rPr>
        <w:t xml:space="preserve"> e la nona posizione dagli oli e grassi, con una diminuzione delle importazioni rispetto all’anno precedente, del 4,8%.</w:t>
      </w:r>
    </w:p>
    <w:p w:rsidR="00D73945" w:rsidRDefault="00D73945" w:rsidP="00D73945">
      <w:pPr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73945">
        <w:rPr>
          <w:rFonts w:ascii="Times New Roman" w:hAnsi="Times New Roman" w:cs="Times New Roman"/>
          <w:sz w:val="24"/>
          <w:szCs w:val="24"/>
        </w:rPr>
        <w:t xml:space="preserve">Le </w:t>
      </w:r>
      <w:r w:rsidRPr="00D73945">
        <w:rPr>
          <w:rFonts w:ascii="Times New Roman" w:hAnsi="Times New Roman" w:cs="Times New Roman"/>
          <w:b/>
          <w:sz w:val="24"/>
          <w:szCs w:val="24"/>
        </w:rPr>
        <w:t>esportazioni slovacche</w:t>
      </w:r>
      <w:r w:rsidRPr="00D73945">
        <w:rPr>
          <w:rFonts w:ascii="Times New Roman" w:hAnsi="Times New Roman" w:cs="Times New Roman"/>
          <w:sz w:val="24"/>
          <w:szCs w:val="24"/>
        </w:rPr>
        <w:t xml:space="preserve"> sono maggiormente rappresentate dai macchinari e veicoli, registrando un aumento del 9,9% rispetto allo stesso periodo del 2015, seguite dai beni di consumo alla seconda posizione -0,4%</w:t>
      </w:r>
      <w:proofErr w:type="gramStart"/>
      <w:r w:rsidRPr="00D73945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D73945">
        <w:rPr>
          <w:rFonts w:ascii="Times New Roman" w:hAnsi="Times New Roman" w:cs="Times New Roman"/>
          <w:sz w:val="24"/>
          <w:szCs w:val="24"/>
        </w:rPr>
        <w:t xml:space="preserve"> e dai prodotti industriali alla terza, registrando una diminuzione dell’1,0%. Al quarto posto si </w:t>
      </w:r>
      <w:proofErr w:type="gramStart"/>
      <w:r w:rsidRPr="00D73945">
        <w:rPr>
          <w:rFonts w:ascii="Times New Roman" w:hAnsi="Times New Roman" w:cs="Times New Roman"/>
          <w:sz w:val="24"/>
          <w:szCs w:val="24"/>
        </w:rPr>
        <w:t>posizionano</w:t>
      </w:r>
      <w:proofErr w:type="gramEnd"/>
      <w:r w:rsidRPr="00D73945">
        <w:rPr>
          <w:rFonts w:ascii="Times New Roman" w:hAnsi="Times New Roman" w:cs="Times New Roman"/>
          <w:sz w:val="24"/>
          <w:szCs w:val="24"/>
        </w:rPr>
        <w:t xml:space="preserve"> i prodotti chimici (in aumento dello 0,7%), al quinto i beni alimentari (in aumento dell’1,1%). In sesta posizione si confermano i combustibili (-34,5%), seguiti dalle materie prime in diminuzione del 14,6% e dagli oli e grassi (-11,1%)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73945" w:rsidRDefault="00D73945" w:rsidP="00D73945">
      <w:pPr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D73945" w:rsidRDefault="00D73945" w:rsidP="00D73945">
      <w:pPr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D73945" w:rsidRDefault="00D73945" w:rsidP="00D73945">
      <w:pPr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D73945" w:rsidRPr="00D73945" w:rsidRDefault="00D73945" w:rsidP="00D73945">
      <w:pPr>
        <w:spacing w:line="26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D73945" w:rsidRPr="00D73945" w:rsidRDefault="00D73945" w:rsidP="00D73945">
      <w:pPr>
        <w:spacing w:after="0" w:line="26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D73945">
        <w:rPr>
          <w:rFonts w:ascii="Times New Roman" w:hAnsi="Times New Roman" w:cs="Times New Roman"/>
          <w:b/>
          <w:bCs/>
          <w:sz w:val="24"/>
          <w:szCs w:val="24"/>
        </w:rPr>
        <w:lastRenderedPageBreak/>
        <w:t>Importazioni</w:t>
      </w:r>
      <w:r w:rsidRPr="00D73945">
        <w:rPr>
          <w:rFonts w:ascii="Times New Roman" w:hAnsi="Times New Roman" w:cs="Times New Roman"/>
          <w:sz w:val="24"/>
          <w:szCs w:val="24"/>
        </w:rPr>
        <w:t xml:space="preserve"> (</w:t>
      </w:r>
      <w:r w:rsidRPr="00D73945">
        <w:rPr>
          <w:rFonts w:ascii="Times New Roman" w:hAnsi="Times New Roman" w:cs="Times New Roman"/>
          <w:i/>
          <w:iCs/>
          <w:sz w:val="24"/>
          <w:szCs w:val="24"/>
        </w:rPr>
        <w:t>in milioni di Euro</w:t>
      </w:r>
      <w:r w:rsidRPr="00D7394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4964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84"/>
        <w:gridCol w:w="1014"/>
        <w:gridCol w:w="1012"/>
        <w:gridCol w:w="889"/>
        <w:gridCol w:w="1012"/>
        <w:gridCol w:w="883"/>
        <w:gridCol w:w="1507"/>
        <w:gridCol w:w="1507"/>
      </w:tblGrid>
      <w:tr w:rsidR="00D73945" w:rsidRPr="00D73945" w:rsidTr="00102909">
        <w:trPr>
          <w:trHeight w:val="405"/>
        </w:trPr>
        <w:tc>
          <w:tcPr>
            <w:tcW w:w="970" w:type="pct"/>
          </w:tcPr>
          <w:p w:rsidR="00D73945" w:rsidRPr="00D73945" w:rsidRDefault="00D73945" w:rsidP="00102909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Gruppi merceologici</w:t>
            </w:r>
          </w:p>
        </w:tc>
        <w:tc>
          <w:tcPr>
            <w:tcW w:w="522" w:type="pct"/>
          </w:tcPr>
          <w:p w:rsidR="00D73945" w:rsidRPr="00D73945" w:rsidRDefault="00D73945" w:rsidP="00102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2011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</w:tc>
        <w:tc>
          <w:tcPr>
            <w:tcW w:w="458" w:type="pct"/>
          </w:tcPr>
          <w:p w:rsidR="00D73945" w:rsidRPr="00D73945" w:rsidRDefault="00D73945" w:rsidP="001029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ind w:right="7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2014</w:t>
            </w:r>
          </w:p>
        </w:tc>
        <w:tc>
          <w:tcPr>
            <w:tcW w:w="455" w:type="pct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1° semestre 2016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Variazione </w:t>
            </w:r>
          </w:p>
          <w:p w:rsidR="00D73945" w:rsidRPr="00D73945" w:rsidRDefault="00D73945" w:rsidP="00102909">
            <w:pPr>
              <w:spacing w:after="0" w:line="240" w:lineRule="auto"/>
              <w:ind w:left="93" w:hanging="93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1° </w:t>
            </w:r>
            <w:proofErr w:type="spellStart"/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sem</w:t>
            </w:r>
            <w:proofErr w:type="spellEnd"/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.2016/</w:t>
            </w:r>
          </w:p>
          <w:p w:rsidR="00D73945" w:rsidRPr="00D73945" w:rsidRDefault="00D73945" w:rsidP="00102909">
            <w:pPr>
              <w:spacing w:after="0" w:line="240" w:lineRule="auto"/>
              <w:ind w:left="93" w:hanging="93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1°sem. 2015 </w:t>
            </w:r>
          </w:p>
        </w:tc>
      </w:tr>
      <w:tr w:rsidR="00D73945" w:rsidRPr="00D73945" w:rsidTr="00102909">
        <w:tc>
          <w:tcPr>
            <w:tcW w:w="970" w:type="pct"/>
          </w:tcPr>
          <w:p w:rsidR="00D73945" w:rsidRPr="00D73945" w:rsidRDefault="00D73945" w:rsidP="00102909">
            <w:pPr>
              <w:pStyle w:val="Titolo9"/>
              <w:rPr>
                <w:rFonts w:ascii="Times New Roman" w:hAnsi="Times New Roman" w:cs="Times New Roman"/>
                <w:i/>
                <w:sz w:val="20"/>
                <w:szCs w:val="20"/>
                <w:lang w:val="it-IT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Macchinari, veicoli</w:t>
            </w:r>
          </w:p>
        </w:tc>
        <w:tc>
          <w:tcPr>
            <w:tcW w:w="522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22.682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24.018</w:t>
            </w:r>
          </w:p>
        </w:tc>
        <w:tc>
          <w:tcPr>
            <w:tcW w:w="458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25.315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26.382</w:t>
            </w:r>
          </w:p>
        </w:tc>
        <w:tc>
          <w:tcPr>
            <w:tcW w:w="455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30.351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15.852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</w:tr>
      <w:tr w:rsidR="00D73945" w:rsidRPr="00D73945" w:rsidTr="00102909">
        <w:tc>
          <w:tcPr>
            <w:tcW w:w="970" w:type="pct"/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Beni di consumo</w:t>
            </w:r>
          </w:p>
        </w:tc>
        <w:tc>
          <w:tcPr>
            <w:tcW w:w="522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8.511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8.862</w:t>
            </w:r>
          </w:p>
        </w:tc>
        <w:tc>
          <w:tcPr>
            <w:tcW w:w="458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8.995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9.259</w:t>
            </w:r>
          </w:p>
        </w:tc>
        <w:tc>
          <w:tcPr>
            <w:tcW w:w="455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9.655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5.726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</w:tr>
      <w:tr w:rsidR="00D73945" w:rsidRPr="00D73945" w:rsidTr="00102909">
        <w:tc>
          <w:tcPr>
            <w:tcW w:w="970" w:type="pct"/>
          </w:tcPr>
          <w:p w:rsidR="00D73945" w:rsidRPr="00D73945" w:rsidRDefault="00D73945" w:rsidP="0010290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. Industriali</w:t>
            </w:r>
          </w:p>
        </w:tc>
        <w:tc>
          <w:tcPr>
            <w:tcW w:w="522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6.089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7.002</w:t>
            </w:r>
          </w:p>
        </w:tc>
        <w:tc>
          <w:tcPr>
            <w:tcW w:w="458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6.974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7.402</w:t>
            </w:r>
          </w:p>
        </w:tc>
        <w:tc>
          <w:tcPr>
            <w:tcW w:w="455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8.203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4.040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</w:tr>
      <w:tr w:rsidR="00D73945" w:rsidRPr="00D73945" w:rsidTr="00102909">
        <w:tc>
          <w:tcPr>
            <w:tcW w:w="970" w:type="pct"/>
          </w:tcPr>
          <w:p w:rsidR="00D73945" w:rsidRPr="00D73945" w:rsidRDefault="00D73945" w:rsidP="0010290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Prodotti chimici</w:t>
            </w:r>
          </w:p>
        </w:tc>
        <w:tc>
          <w:tcPr>
            <w:tcW w:w="522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4.919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4.884</w:t>
            </w:r>
          </w:p>
        </w:tc>
        <w:tc>
          <w:tcPr>
            <w:tcW w:w="458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5.084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5.344</w:t>
            </w:r>
          </w:p>
        </w:tc>
        <w:tc>
          <w:tcPr>
            <w:tcW w:w="455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5.729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3.017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</w:tr>
      <w:tr w:rsidR="00D73945" w:rsidRPr="00D73945" w:rsidTr="00102909">
        <w:tc>
          <w:tcPr>
            <w:tcW w:w="970" w:type="pct"/>
          </w:tcPr>
          <w:p w:rsidR="00D73945" w:rsidRPr="00D73945" w:rsidRDefault="00D73945" w:rsidP="0010290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Combustibili</w:t>
            </w:r>
          </w:p>
        </w:tc>
        <w:tc>
          <w:tcPr>
            <w:tcW w:w="522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8.097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7.882</w:t>
            </w:r>
          </w:p>
        </w:tc>
        <w:tc>
          <w:tcPr>
            <w:tcW w:w="458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7.945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6.340</w:t>
            </w:r>
          </w:p>
        </w:tc>
        <w:tc>
          <w:tcPr>
            <w:tcW w:w="455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5.281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1.891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-30,8</w:t>
            </w:r>
          </w:p>
        </w:tc>
      </w:tr>
      <w:tr w:rsidR="00D73945" w:rsidRPr="00D73945" w:rsidTr="00102909">
        <w:tc>
          <w:tcPr>
            <w:tcW w:w="970" w:type="pct"/>
          </w:tcPr>
          <w:p w:rsidR="00D73945" w:rsidRPr="00D73945" w:rsidRDefault="00D73945" w:rsidP="0010290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. Alimentari</w:t>
            </w:r>
          </w:p>
        </w:tc>
        <w:tc>
          <w:tcPr>
            <w:tcW w:w="522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2.888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2.986</w:t>
            </w:r>
          </w:p>
        </w:tc>
        <w:tc>
          <w:tcPr>
            <w:tcW w:w="458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3.022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2.935</w:t>
            </w:r>
          </w:p>
        </w:tc>
        <w:tc>
          <w:tcPr>
            <w:tcW w:w="455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3.029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1.589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</w:tr>
      <w:tr w:rsidR="00D73945" w:rsidRPr="00D73945" w:rsidTr="00102909">
        <w:tc>
          <w:tcPr>
            <w:tcW w:w="970" w:type="pct"/>
          </w:tcPr>
          <w:p w:rsidR="00D73945" w:rsidRPr="00D73945" w:rsidRDefault="00D73945" w:rsidP="0010290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Materie prime</w:t>
            </w:r>
          </w:p>
        </w:tc>
        <w:tc>
          <w:tcPr>
            <w:tcW w:w="522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1.976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2.076</w:t>
            </w:r>
          </w:p>
        </w:tc>
        <w:tc>
          <w:tcPr>
            <w:tcW w:w="458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1.904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1.712</w:t>
            </w:r>
          </w:p>
        </w:tc>
        <w:tc>
          <w:tcPr>
            <w:tcW w:w="455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1.550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689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-17,3</w:t>
            </w:r>
          </w:p>
        </w:tc>
      </w:tr>
      <w:tr w:rsidR="00D73945" w:rsidRPr="00D73945" w:rsidTr="00102909">
        <w:tc>
          <w:tcPr>
            <w:tcW w:w="970" w:type="pct"/>
          </w:tcPr>
          <w:p w:rsidR="00D73945" w:rsidRPr="00D73945" w:rsidRDefault="00D73945" w:rsidP="0010290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Bevande</w:t>
            </w:r>
          </w:p>
        </w:tc>
        <w:tc>
          <w:tcPr>
            <w:tcW w:w="522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381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354</w:t>
            </w:r>
          </w:p>
        </w:tc>
        <w:tc>
          <w:tcPr>
            <w:tcW w:w="458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397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421</w:t>
            </w:r>
          </w:p>
        </w:tc>
        <w:tc>
          <w:tcPr>
            <w:tcW w:w="455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431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</w:tr>
      <w:tr w:rsidR="00D73945" w:rsidRPr="00D73945" w:rsidTr="00102909">
        <w:tc>
          <w:tcPr>
            <w:tcW w:w="970" w:type="pct"/>
          </w:tcPr>
          <w:p w:rsidR="00D73945" w:rsidRPr="00D73945" w:rsidRDefault="00D73945" w:rsidP="0010290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Oli, grassi</w:t>
            </w:r>
          </w:p>
        </w:tc>
        <w:tc>
          <w:tcPr>
            <w:tcW w:w="522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246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348</w:t>
            </w:r>
          </w:p>
        </w:tc>
        <w:tc>
          <w:tcPr>
            <w:tcW w:w="458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305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223</w:t>
            </w:r>
          </w:p>
        </w:tc>
        <w:tc>
          <w:tcPr>
            <w:tcW w:w="455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-4,8</w:t>
            </w:r>
          </w:p>
        </w:tc>
      </w:tr>
      <w:tr w:rsidR="00D73945" w:rsidRPr="00D73945" w:rsidTr="00102909">
        <w:tc>
          <w:tcPr>
            <w:tcW w:w="970" w:type="pct"/>
          </w:tcPr>
          <w:p w:rsidR="00D73945" w:rsidRPr="00D73945" w:rsidRDefault="00D73945" w:rsidP="0010290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Altri</w:t>
            </w:r>
          </w:p>
        </w:tc>
        <w:tc>
          <w:tcPr>
            <w:tcW w:w="522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198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169</w:t>
            </w:r>
          </w:p>
        </w:tc>
        <w:tc>
          <w:tcPr>
            <w:tcW w:w="458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137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135</w:t>
            </w:r>
          </w:p>
        </w:tc>
        <w:tc>
          <w:tcPr>
            <w:tcW w:w="455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72,5</w:t>
            </w:r>
          </w:p>
        </w:tc>
      </w:tr>
      <w:tr w:rsidR="00D73945" w:rsidRPr="00D73945" w:rsidTr="00102909">
        <w:tc>
          <w:tcPr>
            <w:tcW w:w="970" w:type="pct"/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522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55.793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58.588</w:t>
            </w:r>
          </w:p>
        </w:tc>
        <w:tc>
          <w:tcPr>
            <w:tcW w:w="458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60.077</w:t>
            </w:r>
          </w:p>
        </w:tc>
        <w:tc>
          <w:tcPr>
            <w:tcW w:w="521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60.152</w:t>
            </w:r>
          </w:p>
        </w:tc>
        <w:tc>
          <w:tcPr>
            <w:tcW w:w="455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64.361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32.468</w:t>
            </w:r>
          </w:p>
        </w:tc>
        <w:tc>
          <w:tcPr>
            <w:tcW w:w="776" w:type="pct"/>
          </w:tcPr>
          <w:p w:rsidR="00D73945" w:rsidRPr="00D73945" w:rsidRDefault="00D73945" w:rsidP="0010290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3,7</w:t>
            </w:r>
          </w:p>
        </w:tc>
      </w:tr>
    </w:tbl>
    <w:p w:rsidR="00D73945" w:rsidRPr="00D73945" w:rsidRDefault="00D73945" w:rsidP="00D73945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proofErr w:type="gramStart"/>
      <w:r w:rsidRPr="00D73945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  <w:proofErr w:type="gramEnd"/>
    </w:p>
    <w:p w:rsidR="00D73945" w:rsidRPr="00D73945" w:rsidRDefault="00D73945" w:rsidP="00D739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3945" w:rsidRPr="00D73945" w:rsidRDefault="00D73945" w:rsidP="00D739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73945">
        <w:rPr>
          <w:rFonts w:ascii="Times New Roman" w:hAnsi="Times New Roman" w:cs="Times New Roman"/>
          <w:b/>
          <w:bCs/>
          <w:sz w:val="24"/>
          <w:szCs w:val="24"/>
        </w:rPr>
        <w:t>Esportazioni</w:t>
      </w:r>
      <w:r w:rsidRPr="00D73945">
        <w:rPr>
          <w:rFonts w:ascii="Times New Roman" w:hAnsi="Times New Roman" w:cs="Times New Roman"/>
          <w:sz w:val="24"/>
          <w:szCs w:val="24"/>
        </w:rPr>
        <w:t xml:space="preserve"> (</w:t>
      </w:r>
      <w:r w:rsidRPr="00D73945">
        <w:rPr>
          <w:rFonts w:ascii="Times New Roman" w:hAnsi="Times New Roman" w:cs="Times New Roman"/>
          <w:i/>
          <w:iCs/>
          <w:sz w:val="24"/>
          <w:szCs w:val="24"/>
        </w:rPr>
        <w:t>in milioni di Euro</w:t>
      </w:r>
      <w:r w:rsidRPr="00D73945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4965" w:type="pct"/>
        <w:jc w:val="right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44"/>
        <w:gridCol w:w="1053"/>
        <w:gridCol w:w="1053"/>
        <w:gridCol w:w="924"/>
        <w:gridCol w:w="942"/>
        <w:gridCol w:w="851"/>
        <w:gridCol w:w="1557"/>
        <w:gridCol w:w="1486"/>
      </w:tblGrid>
      <w:tr w:rsidR="00D73945" w:rsidRPr="00D73945" w:rsidTr="00102909">
        <w:trPr>
          <w:trHeight w:val="20"/>
          <w:jc w:val="right"/>
        </w:trPr>
        <w:tc>
          <w:tcPr>
            <w:tcW w:w="950" w:type="pct"/>
          </w:tcPr>
          <w:p w:rsidR="00D73945" w:rsidRPr="00D73945" w:rsidRDefault="00D73945" w:rsidP="0010290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Gruppi merceologici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2011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2012</w:t>
            </w:r>
          </w:p>
        </w:tc>
        <w:tc>
          <w:tcPr>
            <w:tcW w:w="476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2013</w:t>
            </w:r>
          </w:p>
        </w:tc>
        <w:tc>
          <w:tcPr>
            <w:tcW w:w="485" w:type="pct"/>
          </w:tcPr>
          <w:p w:rsidR="00D73945" w:rsidRPr="00D73945" w:rsidRDefault="00D73945" w:rsidP="00102909">
            <w:pPr>
              <w:spacing w:after="0" w:line="240" w:lineRule="auto"/>
              <w:ind w:left="498" w:right="72" w:hanging="49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2014</w:t>
            </w:r>
          </w:p>
        </w:tc>
        <w:tc>
          <w:tcPr>
            <w:tcW w:w="438" w:type="pct"/>
          </w:tcPr>
          <w:p w:rsidR="00D73945" w:rsidRPr="00D73945" w:rsidRDefault="00D73945" w:rsidP="00102909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2015</w:t>
            </w:r>
          </w:p>
        </w:tc>
        <w:tc>
          <w:tcPr>
            <w:tcW w:w="80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1° semestre 2016</w:t>
            </w:r>
          </w:p>
        </w:tc>
        <w:tc>
          <w:tcPr>
            <w:tcW w:w="76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Variazione </w:t>
            </w:r>
          </w:p>
          <w:p w:rsidR="00D73945" w:rsidRPr="00D73945" w:rsidRDefault="00D73945" w:rsidP="00102909">
            <w:pPr>
              <w:spacing w:after="0" w:line="240" w:lineRule="auto"/>
              <w:ind w:left="93" w:hanging="93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1° </w:t>
            </w:r>
            <w:proofErr w:type="spellStart"/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sem</w:t>
            </w:r>
            <w:proofErr w:type="spellEnd"/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.2016/</w:t>
            </w:r>
          </w:p>
          <w:p w:rsidR="00D73945" w:rsidRPr="00D73945" w:rsidRDefault="00D73945" w:rsidP="00102909">
            <w:pPr>
              <w:spacing w:after="0" w:line="240" w:lineRule="auto"/>
              <w:ind w:left="93" w:hanging="93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1°sem. 2015 </w:t>
            </w:r>
          </w:p>
        </w:tc>
      </w:tr>
      <w:tr w:rsidR="00D73945" w:rsidRPr="00D73945" w:rsidTr="00102909">
        <w:trPr>
          <w:jc w:val="right"/>
        </w:trPr>
        <w:tc>
          <w:tcPr>
            <w:tcW w:w="950" w:type="pct"/>
          </w:tcPr>
          <w:p w:rsidR="00D73945" w:rsidRPr="00D73945" w:rsidRDefault="00D73945" w:rsidP="00102909">
            <w:pPr>
              <w:pStyle w:val="Titolo9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proofErr w:type="spellStart"/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Macchinari</w:t>
            </w:r>
            <w:proofErr w:type="spellEnd"/>
            <w:r w:rsidRPr="00D7394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veicol</w:t>
            </w:r>
            <w:r w:rsidRPr="00D73945">
              <w:rPr>
                <w:rFonts w:ascii="Times New Roman" w:hAnsi="Times New Roman" w:cs="Times New Roman"/>
                <w:b w:val="0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30.097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34.130</w:t>
            </w:r>
          </w:p>
        </w:tc>
        <w:tc>
          <w:tcPr>
            <w:tcW w:w="476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36.690</w:t>
            </w:r>
          </w:p>
        </w:tc>
        <w:tc>
          <w:tcPr>
            <w:tcW w:w="48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37.381</w:t>
            </w:r>
          </w:p>
        </w:tc>
        <w:tc>
          <w:tcPr>
            <w:tcW w:w="438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40.393</w:t>
            </w:r>
          </w:p>
        </w:tc>
        <w:tc>
          <w:tcPr>
            <w:tcW w:w="80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21.520</w:t>
            </w:r>
          </w:p>
        </w:tc>
        <w:tc>
          <w:tcPr>
            <w:tcW w:w="76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9,9</w:t>
            </w:r>
          </w:p>
        </w:tc>
      </w:tr>
      <w:tr w:rsidR="00D73945" w:rsidRPr="00D73945" w:rsidTr="00102909">
        <w:trPr>
          <w:jc w:val="right"/>
        </w:trPr>
        <w:tc>
          <w:tcPr>
            <w:tcW w:w="950" w:type="pct"/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Beni di consumo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10.702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11.296</w:t>
            </w:r>
          </w:p>
        </w:tc>
        <w:tc>
          <w:tcPr>
            <w:tcW w:w="476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10.968</w:t>
            </w:r>
          </w:p>
        </w:tc>
        <w:tc>
          <w:tcPr>
            <w:tcW w:w="48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10.901</w:t>
            </w:r>
          </w:p>
        </w:tc>
        <w:tc>
          <w:tcPr>
            <w:tcW w:w="438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11.320</w:t>
            </w:r>
          </w:p>
        </w:tc>
        <w:tc>
          <w:tcPr>
            <w:tcW w:w="80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5.726</w:t>
            </w:r>
          </w:p>
        </w:tc>
        <w:tc>
          <w:tcPr>
            <w:tcW w:w="76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-0,4</w:t>
            </w:r>
          </w:p>
        </w:tc>
      </w:tr>
      <w:tr w:rsidR="00D73945" w:rsidRPr="00D73945" w:rsidTr="00102909">
        <w:trPr>
          <w:jc w:val="right"/>
        </w:trPr>
        <w:tc>
          <w:tcPr>
            <w:tcW w:w="950" w:type="pct"/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. Industriali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5.612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5.612</w:t>
            </w:r>
          </w:p>
        </w:tc>
        <w:tc>
          <w:tcPr>
            <w:tcW w:w="476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5.629</w:t>
            </w:r>
          </w:p>
        </w:tc>
        <w:tc>
          <w:tcPr>
            <w:tcW w:w="48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6.394</w:t>
            </w:r>
          </w:p>
        </w:tc>
        <w:tc>
          <w:tcPr>
            <w:tcW w:w="438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6.600</w:t>
            </w:r>
          </w:p>
        </w:tc>
        <w:tc>
          <w:tcPr>
            <w:tcW w:w="80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3.149</w:t>
            </w:r>
          </w:p>
        </w:tc>
        <w:tc>
          <w:tcPr>
            <w:tcW w:w="76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-1,0</w:t>
            </w:r>
          </w:p>
        </w:tc>
      </w:tr>
      <w:tr w:rsidR="00D73945" w:rsidRPr="00D73945" w:rsidTr="00102909">
        <w:trPr>
          <w:jc w:val="right"/>
        </w:trPr>
        <w:tc>
          <w:tcPr>
            <w:tcW w:w="950" w:type="pct"/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Prodotti chimici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2.811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2.619</w:t>
            </w:r>
          </w:p>
        </w:tc>
        <w:tc>
          <w:tcPr>
            <w:tcW w:w="476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2.913</w:t>
            </w:r>
          </w:p>
        </w:tc>
        <w:tc>
          <w:tcPr>
            <w:tcW w:w="48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3.134</w:t>
            </w:r>
          </w:p>
        </w:tc>
        <w:tc>
          <w:tcPr>
            <w:tcW w:w="438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3.197</w:t>
            </w:r>
          </w:p>
        </w:tc>
        <w:tc>
          <w:tcPr>
            <w:tcW w:w="80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1.620</w:t>
            </w:r>
          </w:p>
        </w:tc>
        <w:tc>
          <w:tcPr>
            <w:tcW w:w="76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</w:tr>
      <w:tr w:rsidR="00D73945" w:rsidRPr="00D73945" w:rsidTr="00102909">
        <w:trPr>
          <w:jc w:val="right"/>
        </w:trPr>
        <w:tc>
          <w:tcPr>
            <w:tcW w:w="950" w:type="pct"/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Prod</w:t>
            </w:r>
            <w:proofErr w:type="spellEnd"/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alimentari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2.214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2.534</w:t>
            </w:r>
          </w:p>
        </w:tc>
        <w:tc>
          <w:tcPr>
            <w:tcW w:w="476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2.387</w:t>
            </w:r>
          </w:p>
        </w:tc>
        <w:tc>
          <w:tcPr>
            <w:tcW w:w="48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2.210</w:t>
            </w:r>
          </w:p>
        </w:tc>
        <w:tc>
          <w:tcPr>
            <w:tcW w:w="438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2.213</w:t>
            </w:r>
          </w:p>
        </w:tc>
        <w:tc>
          <w:tcPr>
            <w:tcW w:w="80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1.080</w:t>
            </w:r>
          </w:p>
        </w:tc>
        <w:tc>
          <w:tcPr>
            <w:tcW w:w="76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</w:tr>
      <w:tr w:rsidR="00D73945" w:rsidRPr="00D73945" w:rsidTr="00102909">
        <w:trPr>
          <w:jc w:val="right"/>
        </w:trPr>
        <w:tc>
          <w:tcPr>
            <w:tcW w:w="950" w:type="pct"/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Combustibili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3.620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3.666</w:t>
            </w:r>
          </w:p>
        </w:tc>
        <w:tc>
          <w:tcPr>
            <w:tcW w:w="476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3.681</w:t>
            </w:r>
          </w:p>
        </w:tc>
        <w:tc>
          <w:tcPr>
            <w:tcW w:w="48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3.071</w:t>
            </w:r>
          </w:p>
        </w:tc>
        <w:tc>
          <w:tcPr>
            <w:tcW w:w="438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2.526</w:t>
            </w:r>
          </w:p>
        </w:tc>
        <w:tc>
          <w:tcPr>
            <w:tcW w:w="80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76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-34,5</w:t>
            </w:r>
          </w:p>
        </w:tc>
      </w:tr>
      <w:tr w:rsidR="00D73945" w:rsidRPr="00D73945" w:rsidTr="00102909">
        <w:trPr>
          <w:jc w:val="right"/>
        </w:trPr>
        <w:tc>
          <w:tcPr>
            <w:tcW w:w="950" w:type="pct"/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Materie prime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1.524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1.962</w:t>
            </w:r>
          </w:p>
        </w:tc>
        <w:tc>
          <w:tcPr>
            <w:tcW w:w="476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1.541</w:t>
            </w:r>
          </w:p>
        </w:tc>
        <w:tc>
          <w:tcPr>
            <w:tcW w:w="48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1.266</w:t>
            </w:r>
          </w:p>
        </w:tc>
        <w:tc>
          <w:tcPr>
            <w:tcW w:w="438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1.221</w:t>
            </w:r>
          </w:p>
        </w:tc>
        <w:tc>
          <w:tcPr>
            <w:tcW w:w="80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566</w:t>
            </w:r>
          </w:p>
        </w:tc>
        <w:tc>
          <w:tcPr>
            <w:tcW w:w="76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-14,6</w:t>
            </w:r>
          </w:p>
        </w:tc>
      </w:tr>
      <w:tr w:rsidR="00D73945" w:rsidRPr="00D73945" w:rsidTr="00102909">
        <w:trPr>
          <w:jc w:val="right"/>
        </w:trPr>
        <w:tc>
          <w:tcPr>
            <w:tcW w:w="950" w:type="pct"/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Oli, grassi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156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320</w:t>
            </w:r>
          </w:p>
        </w:tc>
        <w:tc>
          <w:tcPr>
            <w:tcW w:w="476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260</w:t>
            </w:r>
          </w:p>
        </w:tc>
        <w:tc>
          <w:tcPr>
            <w:tcW w:w="48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161</w:t>
            </w:r>
          </w:p>
        </w:tc>
        <w:tc>
          <w:tcPr>
            <w:tcW w:w="438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80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76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-11,1</w:t>
            </w:r>
          </w:p>
        </w:tc>
      </w:tr>
      <w:tr w:rsidR="00D73945" w:rsidRPr="00D73945" w:rsidTr="00102909">
        <w:trPr>
          <w:jc w:val="right"/>
        </w:trPr>
        <w:tc>
          <w:tcPr>
            <w:tcW w:w="950" w:type="pct"/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Bevande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121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135</w:t>
            </w:r>
          </w:p>
        </w:tc>
        <w:tc>
          <w:tcPr>
            <w:tcW w:w="476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109</w:t>
            </w:r>
          </w:p>
        </w:tc>
        <w:tc>
          <w:tcPr>
            <w:tcW w:w="48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102</w:t>
            </w:r>
          </w:p>
        </w:tc>
        <w:tc>
          <w:tcPr>
            <w:tcW w:w="438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80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76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9,9</w:t>
            </w:r>
          </w:p>
        </w:tc>
      </w:tr>
      <w:tr w:rsidR="00D73945" w:rsidRPr="00D73945" w:rsidTr="00102909">
        <w:trPr>
          <w:jc w:val="right"/>
        </w:trPr>
        <w:tc>
          <w:tcPr>
            <w:tcW w:w="950" w:type="pct"/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Altri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104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127</w:t>
            </w:r>
          </w:p>
        </w:tc>
        <w:tc>
          <w:tcPr>
            <w:tcW w:w="476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182</w:t>
            </w:r>
          </w:p>
        </w:tc>
        <w:tc>
          <w:tcPr>
            <w:tcW w:w="48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sz w:val="20"/>
                <w:szCs w:val="20"/>
              </w:rPr>
              <w:t>181</w:t>
            </w:r>
          </w:p>
        </w:tc>
        <w:tc>
          <w:tcPr>
            <w:tcW w:w="438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80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76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-5,4</w:t>
            </w:r>
          </w:p>
        </w:tc>
      </w:tr>
      <w:tr w:rsidR="00D73945" w:rsidRPr="00D73945" w:rsidTr="00102909">
        <w:trPr>
          <w:jc w:val="right"/>
        </w:trPr>
        <w:tc>
          <w:tcPr>
            <w:tcW w:w="950" w:type="pct"/>
          </w:tcPr>
          <w:p w:rsidR="00D73945" w:rsidRPr="00D73945" w:rsidRDefault="00D73945" w:rsidP="0010290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/>
                <w:sz w:val="20"/>
                <w:szCs w:val="20"/>
              </w:rPr>
              <w:t>Totale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56.766</w:t>
            </w:r>
          </w:p>
        </w:tc>
        <w:tc>
          <w:tcPr>
            <w:tcW w:w="54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62.144</w:t>
            </w:r>
          </w:p>
        </w:tc>
        <w:tc>
          <w:tcPr>
            <w:tcW w:w="476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64.361</w:t>
            </w:r>
          </w:p>
        </w:tc>
        <w:tc>
          <w:tcPr>
            <w:tcW w:w="48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64.801</w:t>
            </w:r>
          </w:p>
        </w:tc>
        <w:tc>
          <w:tcPr>
            <w:tcW w:w="438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67.680</w:t>
            </w:r>
          </w:p>
        </w:tc>
        <w:tc>
          <w:tcPr>
            <w:tcW w:w="802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34.792</w:t>
            </w:r>
          </w:p>
        </w:tc>
        <w:tc>
          <w:tcPr>
            <w:tcW w:w="765" w:type="pct"/>
          </w:tcPr>
          <w:p w:rsidR="00D73945" w:rsidRPr="00D73945" w:rsidRDefault="00D73945" w:rsidP="00102909">
            <w:pPr>
              <w:spacing w:after="0" w:line="240" w:lineRule="auto"/>
              <w:ind w:left="498" w:hanging="49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73945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</w:tr>
    </w:tbl>
    <w:p w:rsidR="00D73945" w:rsidRPr="00D73945" w:rsidRDefault="00D73945" w:rsidP="00D73945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proofErr w:type="gramStart"/>
      <w:r w:rsidRPr="00D73945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  <w:proofErr w:type="gramEnd"/>
    </w:p>
    <w:p w:rsidR="00D73945" w:rsidRPr="00D73945" w:rsidRDefault="00D73945" w:rsidP="00D73945">
      <w:pPr>
        <w:pStyle w:val="Titolo"/>
        <w:tabs>
          <w:tab w:val="left" w:pos="2410"/>
          <w:tab w:val="left" w:pos="2552"/>
          <w:tab w:val="left" w:pos="3969"/>
        </w:tabs>
        <w:spacing w:before="0" w:after="0" w:line="240" w:lineRule="auto"/>
        <w:jc w:val="left"/>
        <w:rPr>
          <w:rFonts w:ascii="Times New Roman" w:hAnsi="Times New Roman" w:cs="Times New Roman"/>
          <w:i/>
          <w:iCs/>
          <w:sz w:val="24"/>
          <w:szCs w:val="24"/>
          <w:lang w:eastAsia="it-IT"/>
        </w:rPr>
      </w:pPr>
    </w:p>
    <w:p w:rsidR="00D73945" w:rsidRDefault="00D73945" w:rsidP="00D73945">
      <w:pPr>
        <w:spacing w:line="240" w:lineRule="atLeast"/>
        <w:jc w:val="both"/>
        <w:rPr>
          <w:b/>
          <w:i/>
          <w:iCs/>
        </w:rPr>
      </w:pPr>
    </w:p>
    <w:p w:rsidR="00D73945" w:rsidRPr="00D73945" w:rsidRDefault="00D73945" w:rsidP="00D73945">
      <w:pPr>
        <w:spacing w:line="240" w:lineRule="atLeast"/>
        <w:jc w:val="both"/>
        <w:rPr>
          <w:i/>
          <w:iCs/>
        </w:rPr>
      </w:pPr>
      <w:r w:rsidRPr="00D73945">
        <w:rPr>
          <w:b/>
          <w:i/>
          <w:iCs/>
        </w:rPr>
        <w:t>Elaborazione Ufficio commerciale Ambasciata d’Italia Bratislava (gennaio 2017)</w:t>
      </w:r>
    </w:p>
    <w:p w:rsidR="00D73945" w:rsidRPr="00D73945" w:rsidRDefault="00D73945" w:rsidP="00D73945">
      <w:pPr>
        <w:rPr>
          <w:lang w:eastAsia="it-IT"/>
        </w:rPr>
      </w:pPr>
    </w:p>
    <w:sectPr w:rsidR="00D73945" w:rsidRPr="00D73945" w:rsidSect="00231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283"/>
  <w:characterSpacingControl w:val="doNotCompress"/>
  <w:compat/>
  <w:rsids>
    <w:rsidRoot w:val="00D73945"/>
    <w:rsid w:val="00000C1A"/>
    <w:rsid w:val="00046D03"/>
    <w:rsid w:val="000508A5"/>
    <w:rsid w:val="000778C1"/>
    <w:rsid w:val="000C304F"/>
    <w:rsid w:val="000C38D4"/>
    <w:rsid w:val="000C6D49"/>
    <w:rsid w:val="000E26FF"/>
    <w:rsid w:val="000E50D6"/>
    <w:rsid w:val="00117B29"/>
    <w:rsid w:val="001579E6"/>
    <w:rsid w:val="001600A7"/>
    <w:rsid w:val="001D7C47"/>
    <w:rsid w:val="001E32E5"/>
    <w:rsid w:val="001E7E0F"/>
    <w:rsid w:val="00231436"/>
    <w:rsid w:val="002531CC"/>
    <w:rsid w:val="00253BE4"/>
    <w:rsid w:val="002601BD"/>
    <w:rsid w:val="00260913"/>
    <w:rsid w:val="00266857"/>
    <w:rsid w:val="0026737D"/>
    <w:rsid w:val="00275F48"/>
    <w:rsid w:val="002D3048"/>
    <w:rsid w:val="003218B5"/>
    <w:rsid w:val="003C7C38"/>
    <w:rsid w:val="003C7C58"/>
    <w:rsid w:val="003E01B1"/>
    <w:rsid w:val="00404AB7"/>
    <w:rsid w:val="00463449"/>
    <w:rsid w:val="00486D74"/>
    <w:rsid w:val="004903AE"/>
    <w:rsid w:val="004C78CE"/>
    <w:rsid w:val="004E347D"/>
    <w:rsid w:val="004E4ECD"/>
    <w:rsid w:val="00501118"/>
    <w:rsid w:val="00524369"/>
    <w:rsid w:val="00540726"/>
    <w:rsid w:val="00542BE0"/>
    <w:rsid w:val="00561196"/>
    <w:rsid w:val="00601FC8"/>
    <w:rsid w:val="0061108E"/>
    <w:rsid w:val="00633391"/>
    <w:rsid w:val="00662480"/>
    <w:rsid w:val="006719BC"/>
    <w:rsid w:val="00687B18"/>
    <w:rsid w:val="00694F3C"/>
    <w:rsid w:val="00710A71"/>
    <w:rsid w:val="007558D0"/>
    <w:rsid w:val="007628A7"/>
    <w:rsid w:val="007A3F6C"/>
    <w:rsid w:val="007B662B"/>
    <w:rsid w:val="007C5291"/>
    <w:rsid w:val="007E4F4C"/>
    <w:rsid w:val="007F751F"/>
    <w:rsid w:val="008170D6"/>
    <w:rsid w:val="00856868"/>
    <w:rsid w:val="00892CCE"/>
    <w:rsid w:val="008F0ED2"/>
    <w:rsid w:val="008F5BFF"/>
    <w:rsid w:val="009036B4"/>
    <w:rsid w:val="0091153C"/>
    <w:rsid w:val="00916DC5"/>
    <w:rsid w:val="00917D2F"/>
    <w:rsid w:val="00930E53"/>
    <w:rsid w:val="00954379"/>
    <w:rsid w:val="00A45EA6"/>
    <w:rsid w:val="00A54DCB"/>
    <w:rsid w:val="00AD4F6F"/>
    <w:rsid w:val="00B3093A"/>
    <w:rsid w:val="00B37F8A"/>
    <w:rsid w:val="00B563E4"/>
    <w:rsid w:val="00B600B9"/>
    <w:rsid w:val="00B66A64"/>
    <w:rsid w:val="00BC6FE5"/>
    <w:rsid w:val="00C02E67"/>
    <w:rsid w:val="00C315C3"/>
    <w:rsid w:val="00C92F28"/>
    <w:rsid w:val="00CA64DF"/>
    <w:rsid w:val="00D32B09"/>
    <w:rsid w:val="00D408AC"/>
    <w:rsid w:val="00D47B44"/>
    <w:rsid w:val="00D70A55"/>
    <w:rsid w:val="00D73945"/>
    <w:rsid w:val="00D77CA0"/>
    <w:rsid w:val="00D83EB7"/>
    <w:rsid w:val="00DE7132"/>
    <w:rsid w:val="00DF4ADE"/>
    <w:rsid w:val="00E25918"/>
    <w:rsid w:val="00E9105B"/>
    <w:rsid w:val="00EE0760"/>
    <w:rsid w:val="00F0471D"/>
    <w:rsid w:val="00F20D65"/>
    <w:rsid w:val="00F649D9"/>
    <w:rsid w:val="00FC5D46"/>
    <w:rsid w:val="00FE5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3945"/>
    <w:rPr>
      <w:rFonts w:ascii="Calibri" w:eastAsia="Calibri" w:hAnsi="Calibri" w:cs="Calibri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D73945"/>
    <w:pPr>
      <w:keepNext/>
      <w:spacing w:after="0" w:line="240" w:lineRule="auto"/>
      <w:jc w:val="both"/>
      <w:outlineLvl w:val="3"/>
    </w:pPr>
    <w:rPr>
      <w:rFonts w:ascii="Arial" w:hAnsi="Arial" w:cs="Arial"/>
      <w:b/>
      <w:bCs/>
      <w:color w:val="000000"/>
      <w:sz w:val="24"/>
      <w:szCs w:val="24"/>
      <w:lang w:val="en-US"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D73945"/>
    <w:pPr>
      <w:keepNext/>
      <w:spacing w:after="0" w:line="240" w:lineRule="auto"/>
      <w:jc w:val="both"/>
      <w:outlineLvl w:val="8"/>
    </w:pPr>
    <w:rPr>
      <w:rFonts w:ascii="Arial" w:hAnsi="Arial" w:cs="Arial"/>
      <w:b/>
      <w:bCs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9"/>
    <w:rsid w:val="00D73945"/>
    <w:rPr>
      <w:rFonts w:ascii="Arial" w:eastAsia="Calibri" w:hAnsi="Arial" w:cs="Arial"/>
      <w:b/>
      <w:bCs/>
      <w:color w:val="000000"/>
      <w:sz w:val="24"/>
      <w:szCs w:val="24"/>
      <w:lang w:val="en-US"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D73945"/>
    <w:rPr>
      <w:rFonts w:ascii="Arial" w:eastAsia="Calibri" w:hAnsi="Arial" w:cs="Arial"/>
      <w:b/>
      <w:bCs/>
      <w:sz w:val="24"/>
      <w:szCs w:val="24"/>
      <w:lang w:val="en-US"/>
    </w:rPr>
  </w:style>
  <w:style w:type="paragraph" w:styleId="Corpodeltesto">
    <w:name w:val="Body Text"/>
    <w:aliases w:val="Body Text Char,Body Text(ch),正文文本,Carattere"/>
    <w:basedOn w:val="Normale"/>
    <w:link w:val="CorpodeltestoCarattere"/>
    <w:uiPriority w:val="99"/>
    <w:semiHidden/>
    <w:rsid w:val="00D73945"/>
    <w:pPr>
      <w:spacing w:after="0" w:line="240" w:lineRule="auto"/>
      <w:jc w:val="both"/>
    </w:pPr>
    <w:rPr>
      <w:rFonts w:ascii="Arial" w:hAnsi="Arial" w:cs="Arial"/>
      <w:color w:val="000000"/>
      <w:sz w:val="24"/>
      <w:szCs w:val="24"/>
      <w:lang w:val="en-US" w:eastAsia="it-IT"/>
    </w:rPr>
  </w:style>
  <w:style w:type="character" w:customStyle="1" w:styleId="CorpodeltestoCarattere">
    <w:name w:val="Corpo del testo Carattere"/>
    <w:aliases w:val="Body Text Char Carattere,Body Text(ch) Carattere,正文文本 Carattere,Carattere Carattere1"/>
    <w:basedOn w:val="Carpredefinitoparagrafo"/>
    <w:link w:val="Corpodeltesto"/>
    <w:uiPriority w:val="99"/>
    <w:semiHidden/>
    <w:rsid w:val="00D73945"/>
    <w:rPr>
      <w:rFonts w:ascii="Arial" w:eastAsia="Calibri" w:hAnsi="Arial" w:cs="Arial"/>
      <w:color w:val="000000"/>
      <w:sz w:val="24"/>
      <w:szCs w:val="24"/>
      <w:lang w:val="en-US" w:eastAsia="it-IT"/>
    </w:rPr>
  </w:style>
  <w:style w:type="character" w:styleId="Enfasigrassetto">
    <w:name w:val="Strong"/>
    <w:basedOn w:val="Carpredefinitoparagrafo"/>
    <w:qFormat/>
    <w:rsid w:val="00D73945"/>
    <w:rPr>
      <w:b/>
      <w:bCs/>
    </w:rPr>
  </w:style>
  <w:style w:type="paragraph" w:styleId="Corpodeltesto2">
    <w:name w:val="Body Text 2"/>
    <w:basedOn w:val="Normale"/>
    <w:link w:val="Corpodeltesto2Carattere"/>
    <w:uiPriority w:val="99"/>
    <w:semiHidden/>
    <w:rsid w:val="00D73945"/>
    <w:pPr>
      <w:spacing w:after="0" w:line="240" w:lineRule="auto"/>
      <w:jc w:val="both"/>
    </w:pPr>
    <w:rPr>
      <w:rFonts w:ascii="Arial" w:hAnsi="Arial" w:cs="Arial"/>
      <w:sz w:val="24"/>
      <w:szCs w:val="24"/>
      <w:lang w:val="en-US"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73945"/>
    <w:rPr>
      <w:rFonts w:ascii="Arial" w:eastAsia="Calibri" w:hAnsi="Arial" w:cs="Arial"/>
      <w:sz w:val="24"/>
      <w:szCs w:val="24"/>
      <w:lang w:val="en-US" w:eastAsia="it-IT"/>
    </w:rPr>
  </w:style>
  <w:style w:type="paragraph" w:styleId="Intestazione">
    <w:name w:val="header"/>
    <w:basedOn w:val="Normale"/>
    <w:link w:val="IntestazioneCarattere"/>
    <w:rsid w:val="00D73945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val="en-US"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D73945"/>
    <w:rPr>
      <w:rFonts w:ascii="Calibri" w:eastAsia="Calibri" w:hAnsi="Calibri" w:cs="Calibri"/>
      <w:sz w:val="24"/>
      <w:szCs w:val="24"/>
      <w:lang w:val="en-US" w:eastAsia="it-IT"/>
    </w:rPr>
  </w:style>
  <w:style w:type="paragraph" w:styleId="Didascalia">
    <w:name w:val="caption"/>
    <w:basedOn w:val="Normale"/>
    <w:next w:val="Normale"/>
    <w:uiPriority w:val="99"/>
    <w:qFormat/>
    <w:rsid w:val="00D73945"/>
    <w:pPr>
      <w:spacing w:after="0" w:line="240" w:lineRule="auto"/>
    </w:pPr>
    <w:rPr>
      <w:rFonts w:ascii="Times New Roman" w:eastAsia="Times New Roman" w:hAnsi="Times New Roman" w:cs="Times New Roman"/>
      <w:i/>
      <w:iCs/>
      <w:noProof/>
      <w:sz w:val="21"/>
      <w:szCs w:val="21"/>
      <w:lang w:eastAsia="it-IT"/>
    </w:rPr>
  </w:style>
  <w:style w:type="paragraph" w:customStyle="1" w:styleId="CM20">
    <w:name w:val="CM20"/>
    <w:basedOn w:val="Normale"/>
    <w:next w:val="Normale"/>
    <w:rsid w:val="00D73945"/>
    <w:pPr>
      <w:widowControl w:val="0"/>
      <w:autoSpaceDE w:val="0"/>
      <w:autoSpaceDN w:val="0"/>
      <w:adjustRightInd w:val="0"/>
      <w:spacing w:after="63" w:line="240" w:lineRule="auto"/>
    </w:pPr>
    <w:rPr>
      <w:rFonts w:ascii="Garamond" w:eastAsia="SimSun" w:hAnsi="Garamond" w:cs="Garamond"/>
      <w:sz w:val="24"/>
      <w:szCs w:val="24"/>
      <w:lang w:val="en-US" w:eastAsia="zh-CN"/>
    </w:rPr>
  </w:style>
  <w:style w:type="paragraph" w:styleId="Titolo">
    <w:name w:val="Title"/>
    <w:basedOn w:val="Normale"/>
    <w:next w:val="Normale"/>
    <w:link w:val="TitoloCarattere"/>
    <w:uiPriority w:val="99"/>
    <w:qFormat/>
    <w:rsid w:val="00D73945"/>
    <w:pPr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99"/>
    <w:rsid w:val="00D73945"/>
    <w:rPr>
      <w:rFonts w:ascii="Cambria" w:eastAsia="Times New Roman" w:hAnsi="Cambria" w:cs="Cambria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1227</Words>
  <Characters>6997</Characters>
  <Application>Microsoft Office Word</Application>
  <DocSecurity>0</DocSecurity>
  <Lines>58</Lines>
  <Paragraphs>16</Paragraphs>
  <ScaleCrop>false</ScaleCrop>
  <Company/>
  <LinksUpToDate>false</LinksUpToDate>
  <CharactersWithSpaces>8208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2017-01-11T08:12:00Z</dcterms:created>
  <dcterms:modified xsi:type="dcterms:W3CDTF">2017-01-11T08:19:00Z</dcterms:modified>
</cp:coreProperties>
</file>