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A85" w:rsidRPr="00166560" w:rsidRDefault="00236A85" w:rsidP="00166560">
      <w:pPr>
        <w:spacing w:after="0" w:line="240" w:lineRule="auto"/>
        <w:jc w:val="center"/>
        <w:rPr>
          <w:rFonts w:ascii="Times New Roman" w:hAnsi="Times New Roman" w:cs="Times New Roman"/>
          <w:b/>
          <w:bCs/>
          <w:sz w:val="28"/>
          <w:szCs w:val="28"/>
          <w:lang w:eastAsia="it-IT"/>
        </w:rPr>
      </w:pPr>
      <w:r w:rsidRPr="00166560">
        <w:rPr>
          <w:rFonts w:ascii="Times New Roman" w:hAnsi="Times New Roman" w:cs="Times New Roman"/>
          <w:b/>
          <w:bCs/>
          <w:sz w:val="28"/>
          <w:szCs w:val="28"/>
          <w:lang w:eastAsia="it-IT"/>
        </w:rPr>
        <w:t>SCHEDA HOLDOUTS</w:t>
      </w:r>
    </w:p>
    <w:p w:rsidR="00236A85" w:rsidRDefault="00236A85" w:rsidP="00166560">
      <w:pPr>
        <w:spacing w:after="0" w:line="240" w:lineRule="auto"/>
        <w:jc w:val="both"/>
        <w:rPr>
          <w:rFonts w:ascii="Times New Roman" w:hAnsi="Times New Roman" w:cs="Times New Roman"/>
          <w:sz w:val="28"/>
          <w:szCs w:val="28"/>
          <w:lang w:eastAsia="it-IT"/>
        </w:rPr>
      </w:pPr>
    </w:p>
    <w:p w:rsidR="00236A85" w:rsidRPr="00655E28" w:rsidRDefault="00236A85" w:rsidP="007A20A4">
      <w:pPr>
        <w:spacing w:after="0" w:line="240" w:lineRule="auto"/>
        <w:jc w:val="both"/>
        <w:rPr>
          <w:rFonts w:ascii="Times New Roman" w:hAnsi="Times New Roman" w:cs="Times New Roman"/>
          <w:sz w:val="28"/>
          <w:szCs w:val="28"/>
          <w:lang w:eastAsia="it-IT"/>
        </w:rPr>
      </w:pPr>
      <w:r>
        <w:rPr>
          <w:rFonts w:ascii="Times New Roman" w:hAnsi="Times New Roman" w:cs="Times New Roman"/>
          <w:sz w:val="28"/>
          <w:szCs w:val="28"/>
          <w:lang w:eastAsia="it-IT"/>
        </w:rPr>
        <w:t>In aprile u.s. la Corte di Appello USA ha confermato la revoca delle misure cautelari, che</w:t>
      </w:r>
      <w:r w:rsidRPr="00655E28">
        <w:rPr>
          <w:rFonts w:ascii="Times New Roman" w:hAnsi="Times New Roman" w:cs="Times New Roman"/>
          <w:sz w:val="28"/>
          <w:szCs w:val="28"/>
          <w:lang w:eastAsia="it-IT"/>
        </w:rPr>
        <w:t xml:space="preserve"> avevano impedito</w:t>
      </w:r>
      <w:r>
        <w:rPr>
          <w:rFonts w:ascii="Times New Roman" w:hAnsi="Times New Roman" w:cs="Times New Roman"/>
          <w:sz w:val="28"/>
          <w:szCs w:val="28"/>
          <w:lang w:eastAsia="it-IT"/>
        </w:rPr>
        <w:t xml:space="preserve"> dal giugno 2014 all’Argentina </w:t>
      </w:r>
      <w:r w:rsidRPr="00655E28">
        <w:rPr>
          <w:rFonts w:ascii="Times New Roman" w:hAnsi="Times New Roman" w:cs="Times New Roman"/>
          <w:sz w:val="28"/>
          <w:szCs w:val="28"/>
          <w:lang w:eastAsia="it-IT"/>
        </w:rPr>
        <w:t xml:space="preserve">di effettuare i pagamenti del debito verso gli obbligazionisti che avevano accettato i due accordi di </w:t>
      </w:r>
      <w:r w:rsidRPr="00B80A41">
        <w:rPr>
          <w:rFonts w:ascii="Times New Roman" w:hAnsi="Times New Roman" w:cs="Times New Roman"/>
          <w:sz w:val="28"/>
          <w:szCs w:val="28"/>
          <w:lang w:eastAsia="it-IT"/>
        </w:rPr>
        <w:t xml:space="preserve">concambio </w:t>
      </w:r>
      <w:r w:rsidRPr="00655E28">
        <w:rPr>
          <w:rFonts w:ascii="Times New Roman" w:hAnsi="Times New Roman" w:cs="Times New Roman"/>
          <w:sz w:val="28"/>
          <w:szCs w:val="28"/>
          <w:lang w:eastAsia="it-IT"/>
        </w:rPr>
        <w:t>nel 2005 e il 2010</w:t>
      </w:r>
      <w:r>
        <w:rPr>
          <w:rFonts w:ascii="Times New Roman" w:hAnsi="Times New Roman" w:cs="Times New Roman"/>
          <w:sz w:val="28"/>
          <w:szCs w:val="28"/>
          <w:lang w:eastAsia="it-IT"/>
        </w:rPr>
        <w:t>. Cio’ segna il</w:t>
      </w:r>
      <w:r w:rsidRPr="00655E28">
        <w:rPr>
          <w:rFonts w:ascii="Times New Roman" w:hAnsi="Times New Roman" w:cs="Times New Roman"/>
          <w:sz w:val="28"/>
          <w:szCs w:val="28"/>
          <w:lang w:eastAsia="it-IT"/>
        </w:rPr>
        <w:t xml:space="preserve"> ritorno dell’Argentina sui mer</w:t>
      </w:r>
      <w:r>
        <w:rPr>
          <w:rFonts w:ascii="Times New Roman" w:hAnsi="Times New Roman" w:cs="Times New Roman"/>
          <w:sz w:val="28"/>
          <w:szCs w:val="28"/>
          <w:lang w:eastAsia="it-IT"/>
        </w:rPr>
        <w:t xml:space="preserve">cati finanziari internazionali e </w:t>
      </w:r>
      <w:r w:rsidRPr="006711A0">
        <w:rPr>
          <w:rFonts w:ascii="Times New Roman" w:hAnsi="Times New Roman" w:cs="Times New Roman"/>
          <w:sz w:val="28"/>
          <w:szCs w:val="28"/>
          <w:lang w:eastAsia="it-IT"/>
        </w:rPr>
        <w:t>l’accesso al credito</w:t>
      </w:r>
      <w:r>
        <w:rPr>
          <w:rFonts w:ascii="Times New Roman" w:hAnsi="Times New Roman" w:cs="Times New Roman"/>
          <w:sz w:val="28"/>
          <w:szCs w:val="28"/>
          <w:lang w:eastAsia="it-IT"/>
        </w:rPr>
        <w:t>,</w:t>
      </w:r>
      <w:r w:rsidRPr="006711A0">
        <w:rPr>
          <w:rFonts w:ascii="Times New Roman" w:hAnsi="Times New Roman" w:cs="Times New Roman"/>
          <w:sz w:val="28"/>
          <w:szCs w:val="28"/>
          <w:lang w:eastAsia="it-IT"/>
        </w:rPr>
        <w:t xml:space="preserve"> sia da parte del settore </w:t>
      </w:r>
      <w:r>
        <w:rPr>
          <w:rFonts w:ascii="Times New Roman" w:hAnsi="Times New Roman" w:cs="Times New Roman"/>
          <w:sz w:val="28"/>
          <w:szCs w:val="28"/>
          <w:lang w:eastAsia="it-IT"/>
        </w:rPr>
        <w:t>pubblico federale che dei G</w:t>
      </w:r>
      <w:r w:rsidRPr="006711A0">
        <w:rPr>
          <w:rFonts w:ascii="Times New Roman" w:hAnsi="Times New Roman" w:cs="Times New Roman"/>
          <w:sz w:val="28"/>
          <w:szCs w:val="28"/>
          <w:lang w:eastAsia="it-IT"/>
        </w:rPr>
        <w:t xml:space="preserve">overni provinciali. </w:t>
      </w:r>
      <w:r>
        <w:rPr>
          <w:rFonts w:ascii="Times New Roman" w:hAnsi="Times New Roman" w:cs="Times New Roman"/>
          <w:sz w:val="28"/>
          <w:szCs w:val="28"/>
          <w:lang w:eastAsia="it-IT"/>
        </w:rPr>
        <w:t>Tale sviluppo è stato ratificato dalla decisione di Moody’s di riqualificare l’Argentina dalla categoria Caa1 a B3.</w:t>
      </w:r>
    </w:p>
    <w:p w:rsidR="00236A85" w:rsidRDefault="00236A85" w:rsidP="00166560">
      <w:pPr>
        <w:spacing w:after="0" w:line="240" w:lineRule="auto"/>
        <w:jc w:val="both"/>
        <w:rPr>
          <w:rFonts w:ascii="Times New Roman" w:hAnsi="Times New Roman" w:cs="Times New Roman"/>
          <w:sz w:val="28"/>
          <w:szCs w:val="28"/>
          <w:lang w:eastAsia="it-IT"/>
        </w:rPr>
      </w:pPr>
    </w:p>
    <w:p w:rsidR="00236A85" w:rsidRDefault="00236A85" w:rsidP="007A20A4">
      <w:pPr>
        <w:spacing w:after="0" w:line="240" w:lineRule="auto"/>
        <w:jc w:val="both"/>
      </w:pPr>
      <w:r>
        <w:rPr>
          <w:rFonts w:ascii="Times New Roman" w:hAnsi="Times New Roman" w:cs="Times New Roman"/>
          <w:sz w:val="28"/>
          <w:szCs w:val="28"/>
          <w:lang w:eastAsia="it-IT"/>
        </w:rPr>
        <w:t>La fine del</w:t>
      </w:r>
      <w:r w:rsidRPr="00655E28">
        <w:rPr>
          <w:rFonts w:ascii="Times New Roman" w:hAnsi="Times New Roman" w:cs="Times New Roman"/>
          <w:sz w:val="28"/>
          <w:szCs w:val="28"/>
          <w:lang w:eastAsia="it-IT"/>
        </w:rPr>
        <w:t>lo stato di “default tecnico”</w:t>
      </w:r>
      <w:r>
        <w:rPr>
          <w:rFonts w:ascii="Times New Roman" w:hAnsi="Times New Roman" w:cs="Times New Roman"/>
          <w:sz w:val="28"/>
          <w:szCs w:val="28"/>
          <w:lang w:eastAsia="it-IT"/>
        </w:rPr>
        <w:t xml:space="preserve"> del Paese rappresenta un successo per la strategia del G</w:t>
      </w:r>
      <w:r w:rsidRPr="00655E28">
        <w:rPr>
          <w:rFonts w:ascii="Times New Roman" w:hAnsi="Times New Roman" w:cs="Times New Roman"/>
          <w:sz w:val="28"/>
          <w:szCs w:val="28"/>
          <w:lang w:eastAsia="it-IT"/>
        </w:rPr>
        <w:t>overno Macri, che</w:t>
      </w:r>
      <w:r>
        <w:rPr>
          <w:rFonts w:ascii="Times New Roman" w:hAnsi="Times New Roman" w:cs="Times New Roman"/>
          <w:sz w:val="28"/>
          <w:szCs w:val="28"/>
          <w:lang w:eastAsia="it-IT"/>
        </w:rPr>
        <w:t xml:space="preserve"> riesce a “rompere</w:t>
      </w:r>
      <w:r w:rsidRPr="00655E28">
        <w:rPr>
          <w:rFonts w:ascii="Times New Roman" w:hAnsi="Times New Roman" w:cs="Times New Roman"/>
          <w:sz w:val="28"/>
          <w:szCs w:val="28"/>
          <w:lang w:eastAsia="it-IT"/>
        </w:rPr>
        <w:t xml:space="preserve"> il fronte” dei creditori holdouts</w:t>
      </w:r>
      <w:r>
        <w:rPr>
          <w:rFonts w:ascii="Times New Roman" w:hAnsi="Times New Roman" w:cs="Times New Roman"/>
          <w:sz w:val="28"/>
          <w:szCs w:val="28"/>
          <w:lang w:eastAsia="it-IT"/>
        </w:rPr>
        <w:t xml:space="preserve">, perfezionando da ultimo </w:t>
      </w:r>
      <w:r w:rsidRPr="007A20A4">
        <w:rPr>
          <w:rFonts w:ascii="Times New Roman" w:hAnsi="Times New Roman" w:cs="Times New Roman"/>
          <w:sz w:val="28"/>
          <w:szCs w:val="28"/>
          <w:lang w:eastAsia="it-IT"/>
        </w:rPr>
        <w:t xml:space="preserve">un accordo </w:t>
      </w:r>
      <w:r>
        <w:rPr>
          <w:rFonts w:ascii="Times New Roman" w:hAnsi="Times New Roman" w:cs="Times New Roman"/>
          <w:sz w:val="28"/>
          <w:szCs w:val="28"/>
          <w:lang w:eastAsia="it-IT"/>
        </w:rPr>
        <w:t>separato con il</w:t>
      </w:r>
      <w:r w:rsidRPr="007A20A4">
        <w:rPr>
          <w:rFonts w:ascii="Times New Roman" w:hAnsi="Times New Roman" w:cs="Times New Roman"/>
          <w:sz w:val="28"/>
          <w:szCs w:val="28"/>
          <w:lang w:eastAsia="it-IT"/>
        </w:rPr>
        <w:t xml:space="preserve"> gruppo di fondi </w:t>
      </w:r>
      <w:r>
        <w:rPr>
          <w:rFonts w:ascii="Times New Roman" w:hAnsi="Times New Roman" w:cs="Times New Roman"/>
          <w:sz w:val="28"/>
          <w:szCs w:val="28"/>
          <w:lang w:eastAsia="it-IT"/>
        </w:rPr>
        <w:t>(</w:t>
      </w:r>
      <w:r w:rsidRPr="007A20A4">
        <w:rPr>
          <w:rFonts w:ascii="Times New Roman" w:hAnsi="Times New Roman" w:cs="Times New Roman"/>
          <w:sz w:val="28"/>
          <w:szCs w:val="28"/>
          <w:lang w:eastAsia="it-IT"/>
        </w:rPr>
        <w:t>NML, Elliot, Aurelio Capital, Dadivo</w:t>
      </w:r>
      <w:r>
        <w:rPr>
          <w:rFonts w:ascii="Times New Roman" w:hAnsi="Times New Roman" w:cs="Times New Roman"/>
          <w:sz w:val="28"/>
          <w:szCs w:val="28"/>
          <w:lang w:eastAsia="it-IT"/>
        </w:rPr>
        <w:t>nKempner e Bracebridge Capital)</w:t>
      </w:r>
      <w:r w:rsidRPr="00655E28">
        <w:rPr>
          <w:rFonts w:ascii="Times New Roman" w:hAnsi="Times New Roman" w:cs="Times New Roman"/>
          <w:sz w:val="28"/>
          <w:szCs w:val="28"/>
          <w:lang w:eastAsia="it-IT"/>
        </w:rPr>
        <w:t xml:space="preserve"> la cui offensiva giudiziaria aveva portato il giudice </w:t>
      </w:r>
      <w:r>
        <w:rPr>
          <w:rFonts w:ascii="Times New Roman" w:hAnsi="Times New Roman" w:cs="Times New Roman"/>
          <w:sz w:val="28"/>
          <w:szCs w:val="28"/>
          <w:lang w:eastAsia="it-IT"/>
        </w:rPr>
        <w:t xml:space="preserve">USA </w:t>
      </w:r>
      <w:r w:rsidRPr="00655E28">
        <w:rPr>
          <w:rFonts w:ascii="Times New Roman" w:hAnsi="Times New Roman" w:cs="Times New Roman"/>
          <w:sz w:val="28"/>
          <w:szCs w:val="28"/>
          <w:lang w:eastAsia="it-IT"/>
        </w:rPr>
        <w:t>Griesa ad adottare le misure cautelari ba</w:t>
      </w:r>
      <w:r>
        <w:rPr>
          <w:rFonts w:ascii="Times New Roman" w:hAnsi="Times New Roman" w:cs="Times New Roman"/>
          <w:sz w:val="28"/>
          <w:szCs w:val="28"/>
          <w:lang w:eastAsia="it-IT"/>
        </w:rPr>
        <w:t>sate sul principio “pari passu”</w:t>
      </w:r>
      <w:r w:rsidRPr="00655E28">
        <w:rPr>
          <w:rFonts w:ascii="Times New Roman" w:hAnsi="Times New Roman" w:cs="Times New Roman"/>
          <w:sz w:val="28"/>
          <w:szCs w:val="28"/>
          <w:lang w:eastAsia="it-IT"/>
        </w:rPr>
        <w:t>.</w:t>
      </w:r>
    </w:p>
    <w:p w:rsidR="00236A85" w:rsidRDefault="00236A85" w:rsidP="007A20A4">
      <w:pPr>
        <w:spacing w:after="0" w:line="240" w:lineRule="auto"/>
        <w:jc w:val="both"/>
        <w:rPr>
          <w:rFonts w:ascii="Times New Roman" w:hAnsi="Times New Roman" w:cs="Times New Roman"/>
          <w:sz w:val="28"/>
          <w:szCs w:val="28"/>
          <w:lang w:eastAsia="it-IT"/>
        </w:rPr>
      </w:pPr>
    </w:p>
    <w:p w:rsidR="00236A85" w:rsidRDefault="00236A85" w:rsidP="00166560">
      <w:pPr>
        <w:spacing w:after="0" w:line="240" w:lineRule="auto"/>
        <w:jc w:val="both"/>
        <w:rPr>
          <w:rFonts w:ascii="Times New Roman" w:hAnsi="Times New Roman" w:cs="Times New Roman"/>
          <w:sz w:val="28"/>
          <w:szCs w:val="28"/>
          <w:lang w:eastAsia="it-IT"/>
        </w:rPr>
      </w:pPr>
      <w:r>
        <w:rPr>
          <w:rFonts w:ascii="Times New Roman" w:hAnsi="Times New Roman" w:cs="Times New Roman"/>
          <w:sz w:val="28"/>
          <w:szCs w:val="28"/>
          <w:lang w:eastAsia="it-IT"/>
        </w:rPr>
        <w:t>Ottenuta</w:t>
      </w:r>
      <w:r w:rsidRPr="00655E28">
        <w:rPr>
          <w:rFonts w:ascii="Times New Roman" w:hAnsi="Times New Roman" w:cs="Times New Roman"/>
          <w:sz w:val="28"/>
          <w:szCs w:val="28"/>
          <w:lang w:eastAsia="it-IT"/>
        </w:rPr>
        <w:t xml:space="preserve"> la decisione giudiziaria che permette all’Argentina di liquidare le somme dei titoli </w:t>
      </w:r>
      <w:r>
        <w:rPr>
          <w:rFonts w:ascii="Times New Roman" w:hAnsi="Times New Roman" w:cs="Times New Roman"/>
          <w:sz w:val="28"/>
          <w:szCs w:val="28"/>
          <w:lang w:eastAsia="it-IT"/>
        </w:rPr>
        <w:t>ristrutturati, i</w:t>
      </w:r>
      <w:r w:rsidRPr="007A20A4">
        <w:rPr>
          <w:rFonts w:ascii="Times New Roman" w:hAnsi="Times New Roman" w:cs="Times New Roman"/>
          <w:sz w:val="28"/>
          <w:szCs w:val="28"/>
          <w:lang w:eastAsia="it-IT"/>
        </w:rPr>
        <w:t>n data 22 aprile u.s., il Governo ha proceduto ai pagamenti conc</w:t>
      </w:r>
      <w:r>
        <w:rPr>
          <w:rFonts w:ascii="Times New Roman" w:hAnsi="Times New Roman" w:cs="Times New Roman"/>
          <w:sz w:val="28"/>
          <w:szCs w:val="28"/>
          <w:lang w:eastAsia="it-IT"/>
        </w:rPr>
        <w:t xml:space="preserve">ordati con gli obbligazionisti con fondi </w:t>
      </w:r>
      <w:r w:rsidRPr="007A20A4">
        <w:rPr>
          <w:rFonts w:ascii="Times New Roman" w:hAnsi="Times New Roman" w:cs="Times New Roman"/>
          <w:sz w:val="28"/>
          <w:szCs w:val="28"/>
          <w:lang w:eastAsia="it-IT"/>
        </w:rPr>
        <w:t xml:space="preserve">derivanti dal collocamento dei nuovi titoli di debito. Si tratta di più di 16.500 milioni di dollari che </w:t>
      </w:r>
      <w:r>
        <w:rPr>
          <w:rFonts w:ascii="Times New Roman" w:hAnsi="Times New Roman" w:cs="Times New Roman"/>
          <w:sz w:val="28"/>
          <w:szCs w:val="28"/>
          <w:lang w:eastAsia="it-IT"/>
        </w:rPr>
        <w:t>permettono</w:t>
      </w:r>
      <w:r w:rsidRPr="007A20A4">
        <w:rPr>
          <w:rFonts w:ascii="Times New Roman" w:hAnsi="Times New Roman" w:cs="Times New Roman"/>
          <w:sz w:val="28"/>
          <w:szCs w:val="28"/>
          <w:lang w:eastAsia="it-IT"/>
        </w:rPr>
        <w:t xml:space="preserve"> di soddisfare gli accordi</w:t>
      </w:r>
      <w:r>
        <w:rPr>
          <w:rFonts w:ascii="Times New Roman" w:hAnsi="Times New Roman" w:cs="Times New Roman"/>
          <w:sz w:val="28"/>
          <w:szCs w:val="28"/>
          <w:lang w:eastAsia="it-IT"/>
        </w:rPr>
        <w:t>,</w:t>
      </w:r>
      <w:r w:rsidRPr="007A20A4">
        <w:rPr>
          <w:rFonts w:ascii="Times New Roman" w:hAnsi="Times New Roman" w:cs="Times New Roman"/>
          <w:sz w:val="28"/>
          <w:szCs w:val="28"/>
          <w:lang w:eastAsia="it-IT"/>
        </w:rPr>
        <w:t xml:space="preserve"> firmati attraverso il mediatore Pollack</w:t>
      </w:r>
      <w:r>
        <w:rPr>
          <w:rFonts w:ascii="Times New Roman" w:hAnsi="Times New Roman" w:cs="Times New Roman"/>
          <w:sz w:val="28"/>
          <w:szCs w:val="28"/>
          <w:lang w:eastAsia="it-IT"/>
        </w:rPr>
        <w:t>,</w:t>
      </w:r>
      <w:r w:rsidRPr="007A20A4">
        <w:rPr>
          <w:rFonts w:ascii="Times New Roman" w:hAnsi="Times New Roman" w:cs="Times New Roman"/>
          <w:sz w:val="28"/>
          <w:szCs w:val="28"/>
          <w:lang w:eastAsia="it-IT"/>
        </w:rPr>
        <w:t xml:space="preserve"> per oltre 8.500 milioni di dollari e di chiudere piu’ del 90% delle controversie pendenti a New York. I circa 7 miliardi che rimarranno dopo avere soddisfatto gli impegni con gli holdouts, dovrebbero essere destinati, oltre che a chiudere i restanti contenziosi, secondo quanto annunciato dal Governo Federale ad investimenti in infrastrutture e trasporti, con indubbie ricadute positive in termini di creazione di impiego, a partire dalla seconda metà dell’anno.</w:t>
      </w:r>
    </w:p>
    <w:p w:rsidR="00236A85" w:rsidRDefault="00236A85" w:rsidP="00166560">
      <w:pPr>
        <w:spacing w:after="0" w:line="240" w:lineRule="auto"/>
        <w:jc w:val="both"/>
        <w:rPr>
          <w:rFonts w:ascii="Times New Roman" w:hAnsi="Times New Roman" w:cs="Times New Roman"/>
          <w:sz w:val="28"/>
          <w:szCs w:val="28"/>
          <w:lang w:eastAsia="it-IT"/>
        </w:rPr>
      </w:pPr>
    </w:p>
    <w:p w:rsidR="00236A85" w:rsidRDefault="00236A85" w:rsidP="00166560">
      <w:pPr>
        <w:spacing w:after="0" w:line="240" w:lineRule="auto"/>
        <w:jc w:val="both"/>
        <w:rPr>
          <w:rFonts w:ascii="Times New Roman" w:hAnsi="Times New Roman" w:cs="Times New Roman"/>
          <w:sz w:val="28"/>
          <w:szCs w:val="28"/>
          <w:lang w:eastAsia="it-IT"/>
        </w:rPr>
      </w:pPr>
      <w:r>
        <w:rPr>
          <w:rFonts w:ascii="Times New Roman" w:hAnsi="Times New Roman" w:cs="Times New Roman"/>
          <w:sz w:val="28"/>
          <w:szCs w:val="28"/>
          <w:lang w:eastAsia="it-IT"/>
        </w:rPr>
        <w:t>Il G</w:t>
      </w:r>
      <w:r w:rsidRPr="009C5915">
        <w:rPr>
          <w:rFonts w:ascii="Times New Roman" w:hAnsi="Times New Roman" w:cs="Times New Roman"/>
          <w:sz w:val="28"/>
          <w:szCs w:val="28"/>
          <w:lang w:eastAsia="it-IT"/>
        </w:rPr>
        <w:t xml:space="preserve">overno ha </w:t>
      </w:r>
      <w:r>
        <w:rPr>
          <w:rFonts w:ascii="Times New Roman" w:hAnsi="Times New Roman" w:cs="Times New Roman"/>
          <w:sz w:val="28"/>
          <w:szCs w:val="28"/>
          <w:lang w:eastAsia="it-IT"/>
        </w:rPr>
        <w:t xml:space="preserve">incaricato </w:t>
      </w:r>
      <w:r w:rsidRPr="009C5915">
        <w:rPr>
          <w:rFonts w:ascii="Times New Roman" w:hAnsi="Times New Roman" w:cs="Times New Roman"/>
          <w:sz w:val="28"/>
          <w:szCs w:val="28"/>
          <w:lang w:eastAsia="it-IT"/>
        </w:rPr>
        <w:t>DeutscheBank, JP Morgan, HSBC</w:t>
      </w:r>
      <w:r>
        <w:rPr>
          <w:rFonts w:ascii="Times New Roman" w:hAnsi="Times New Roman" w:cs="Times New Roman"/>
          <w:sz w:val="28"/>
          <w:szCs w:val="28"/>
          <w:lang w:eastAsia="it-IT"/>
        </w:rPr>
        <w:t>,</w:t>
      </w:r>
      <w:r w:rsidRPr="009C5915">
        <w:rPr>
          <w:rFonts w:ascii="Times New Roman" w:hAnsi="Times New Roman" w:cs="Times New Roman"/>
          <w:sz w:val="28"/>
          <w:szCs w:val="28"/>
          <w:lang w:eastAsia="it-IT"/>
        </w:rPr>
        <w:t xml:space="preserve"> Santander, BBVA, Citigroup e UBS Securities</w:t>
      </w:r>
      <w:r>
        <w:rPr>
          <w:rFonts w:ascii="Times New Roman" w:hAnsi="Times New Roman" w:cs="Times New Roman"/>
          <w:sz w:val="28"/>
          <w:szCs w:val="28"/>
          <w:lang w:eastAsia="it-IT"/>
        </w:rPr>
        <w:t xml:space="preserve"> del collocamento dei titoli</w:t>
      </w:r>
      <w:r w:rsidRPr="009C5915">
        <w:rPr>
          <w:rFonts w:ascii="Times New Roman" w:hAnsi="Times New Roman" w:cs="Times New Roman"/>
          <w:sz w:val="28"/>
          <w:szCs w:val="28"/>
          <w:lang w:eastAsia="it-IT"/>
        </w:rPr>
        <w:t>. La commiss</w:t>
      </w:r>
      <w:r>
        <w:rPr>
          <w:rFonts w:ascii="Times New Roman" w:hAnsi="Times New Roman" w:cs="Times New Roman"/>
          <w:sz w:val="28"/>
          <w:szCs w:val="28"/>
          <w:lang w:eastAsia="it-IT"/>
        </w:rPr>
        <w:t>ione per il collocamento sarà pari allo 0,18%. Alla luce di ciò, l</w:t>
      </w:r>
      <w:r w:rsidRPr="009C5915">
        <w:rPr>
          <w:rFonts w:ascii="Times New Roman" w:hAnsi="Times New Roman" w:cs="Times New Roman"/>
          <w:sz w:val="28"/>
          <w:szCs w:val="28"/>
          <w:lang w:eastAsia="it-IT"/>
        </w:rPr>
        <w:t xml:space="preserve">e </w:t>
      </w:r>
      <w:r>
        <w:rPr>
          <w:rFonts w:ascii="Times New Roman" w:hAnsi="Times New Roman" w:cs="Times New Roman"/>
          <w:sz w:val="28"/>
          <w:szCs w:val="28"/>
          <w:lang w:eastAsia="it-IT"/>
        </w:rPr>
        <w:t xml:space="preserve">predette </w:t>
      </w:r>
      <w:r w:rsidRPr="009C5915">
        <w:rPr>
          <w:rFonts w:ascii="Times New Roman" w:hAnsi="Times New Roman" w:cs="Times New Roman"/>
          <w:sz w:val="28"/>
          <w:szCs w:val="28"/>
          <w:lang w:eastAsia="it-IT"/>
        </w:rPr>
        <w:t xml:space="preserve">banche </w:t>
      </w:r>
      <w:r>
        <w:rPr>
          <w:rFonts w:ascii="Times New Roman" w:hAnsi="Times New Roman" w:cs="Times New Roman"/>
          <w:sz w:val="28"/>
          <w:szCs w:val="28"/>
          <w:lang w:eastAsia="it-IT"/>
        </w:rPr>
        <w:t>si ripartiranno circa 27 mili</w:t>
      </w:r>
      <w:r w:rsidRPr="009C5915">
        <w:rPr>
          <w:rFonts w:ascii="Times New Roman" w:hAnsi="Times New Roman" w:cs="Times New Roman"/>
          <w:sz w:val="28"/>
          <w:szCs w:val="28"/>
          <w:lang w:eastAsia="it-IT"/>
        </w:rPr>
        <w:t xml:space="preserve">oni di dollari. </w:t>
      </w:r>
      <w:r>
        <w:rPr>
          <w:rFonts w:ascii="Times New Roman" w:hAnsi="Times New Roman" w:cs="Times New Roman"/>
          <w:sz w:val="28"/>
          <w:szCs w:val="28"/>
          <w:lang w:eastAsia="it-IT"/>
        </w:rPr>
        <w:t>Vale la pena sottolineare come le prime due istituzioni finanziarie vantino uno storico rapporto con il M</w:t>
      </w:r>
      <w:r w:rsidRPr="009C5915">
        <w:rPr>
          <w:rFonts w:ascii="Times New Roman" w:hAnsi="Times New Roman" w:cs="Times New Roman"/>
          <w:sz w:val="28"/>
          <w:szCs w:val="28"/>
          <w:lang w:eastAsia="it-IT"/>
        </w:rPr>
        <w:t xml:space="preserve">inistro </w:t>
      </w:r>
      <w:r>
        <w:rPr>
          <w:rFonts w:ascii="Times New Roman" w:hAnsi="Times New Roman" w:cs="Times New Roman"/>
          <w:sz w:val="28"/>
          <w:szCs w:val="28"/>
          <w:lang w:eastAsia="it-IT"/>
        </w:rPr>
        <w:t xml:space="preserve">dell’Economia e delle Finanze </w:t>
      </w:r>
      <w:r w:rsidRPr="009C5915">
        <w:rPr>
          <w:rFonts w:ascii="Times New Roman" w:hAnsi="Times New Roman" w:cs="Times New Roman"/>
          <w:sz w:val="28"/>
          <w:szCs w:val="28"/>
          <w:lang w:eastAsia="it-IT"/>
        </w:rPr>
        <w:t xml:space="preserve">Prat Gay e </w:t>
      </w:r>
      <w:r>
        <w:rPr>
          <w:rFonts w:ascii="Times New Roman" w:hAnsi="Times New Roman" w:cs="Times New Roman"/>
          <w:sz w:val="28"/>
          <w:szCs w:val="28"/>
          <w:lang w:eastAsia="it-IT"/>
        </w:rPr>
        <w:t>con il</w:t>
      </w:r>
      <w:r w:rsidRPr="009C5915">
        <w:rPr>
          <w:rFonts w:ascii="Times New Roman" w:hAnsi="Times New Roman" w:cs="Times New Roman"/>
          <w:sz w:val="28"/>
          <w:szCs w:val="28"/>
          <w:lang w:eastAsia="it-IT"/>
        </w:rPr>
        <w:t xml:space="preserve"> Vice Ministro, Luis Caputo. Prat-Gay fu </w:t>
      </w:r>
      <w:r>
        <w:rPr>
          <w:rFonts w:ascii="Times New Roman" w:hAnsi="Times New Roman" w:cs="Times New Roman"/>
          <w:sz w:val="28"/>
          <w:szCs w:val="28"/>
          <w:lang w:eastAsia="it-IT"/>
        </w:rPr>
        <w:t xml:space="preserve">infatti </w:t>
      </w:r>
      <w:r w:rsidRPr="009C5915">
        <w:rPr>
          <w:rFonts w:ascii="Times New Roman" w:hAnsi="Times New Roman" w:cs="Times New Roman"/>
          <w:sz w:val="28"/>
          <w:szCs w:val="28"/>
          <w:lang w:eastAsia="it-IT"/>
        </w:rPr>
        <w:t xml:space="preserve">funzionario di JP Morgan e Caputo cominciò la sua carriera nella </w:t>
      </w:r>
      <w:r>
        <w:rPr>
          <w:rFonts w:ascii="Times New Roman" w:hAnsi="Times New Roman" w:cs="Times New Roman"/>
          <w:sz w:val="28"/>
          <w:szCs w:val="28"/>
          <w:lang w:eastAsia="it-IT"/>
        </w:rPr>
        <w:t>medesima</w:t>
      </w:r>
      <w:r w:rsidRPr="009C5915">
        <w:rPr>
          <w:rFonts w:ascii="Times New Roman" w:hAnsi="Times New Roman" w:cs="Times New Roman"/>
          <w:sz w:val="28"/>
          <w:szCs w:val="28"/>
          <w:lang w:eastAsia="it-IT"/>
        </w:rPr>
        <w:t xml:space="preserve"> banca per poi diventare direttore della filiale di Bueno</w:t>
      </w:r>
      <w:r>
        <w:rPr>
          <w:rFonts w:ascii="Times New Roman" w:hAnsi="Times New Roman" w:cs="Times New Roman"/>
          <w:sz w:val="28"/>
          <w:szCs w:val="28"/>
          <w:lang w:eastAsia="it-IT"/>
        </w:rPr>
        <w:t xml:space="preserve">s Aires della DeutscheBank. In ottica governativa, tali aspetti dimostrano, ancora una volta, il valore aggiunto di avere fra le proprie fila tecnici qualificati, con esperienza e in grado di dialogare con i mercati finanziari internazionali.  </w:t>
      </w:r>
    </w:p>
    <w:p w:rsidR="00236A85" w:rsidRDefault="00236A85" w:rsidP="00166560">
      <w:pPr>
        <w:spacing w:after="0" w:line="240" w:lineRule="auto"/>
        <w:jc w:val="both"/>
        <w:rPr>
          <w:rFonts w:ascii="Times New Roman" w:hAnsi="Times New Roman" w:cs="Times New Roman"/>
          <w:sz w:val="28"/>
          <w:szCs w:val="28"/>
          <w:lang w:eastAsia="it-IT"/>
        </w:rPr>
      </w:pPr>
    </w:p>
    <w:p w:rsidR="00236A85" w:rsidRPr="009C5915" w:rsidRDefault="00236A85" w:rsidP="00166560">
      <w:pPr>
        <w:spacing w:after="0" w:line="240" w:lineRule="auto"/>
        <w:jc w:val="both"/>
        <w:rPr>
          <w:rFonts w:ascii="Times New Roman" w:hAnsi="Times New Roman" w:cs="Times New Roman"/>
          <w:sz w:val="28"/>
          <w:szCs w:val="28"/>
          <w:lang w:eastAsia="it-IT"/>
        </w:rPr>
      </w:pPr>
      <w:r w:rsidRPr="009C5915">
        <w:rPr>
          <w:rFonts w:ascii="Times New Roman" w:hAnsi="Times New Roman" w:cs="Times New Roman"/>
          <w:sz w:val="28"/>
          <w:szCs w:val="28"/>
          <w:lang w:eastAsia="it-IT"/>
        </w:rPr>
        <w:t xml:space="preserve">I tassi </w:t>
      </w:r>
      <w:r>
        <w:rPr>
          <w:rFonts w:ascii="Times New Roman" w:hAnsi="Times New Roman" w:cs="Times New Roman"/>
          <w:sz w:val="28"/>
          <w:szCs w:val="28"/>
          <w:lang w:eastAsia="it-IT"/>
        </w:rPr>
        <w:t>di interesse del collocamento sono i seguenti: fra il 6,25 e il 6,</w:t>
      </w:r>
      <w:r w:rsidRPr="009C5915">
        <w:rPr>
          <w:rFonts w:ascii="Times New Roman" w:hAnsi="Times New Roman" w:cs="Times New Roman"/>
          <w:sz w:val="28"/>
          <w:szCs w:val="28"/>
          <w:lang w:eastAsia="it-IT"/>
        </w:rPr>
        <w:t>5</w:t>
      </w:r>
      <w:r>
        <w:rPr>
          <w:rFonts w:ascii="Times New Roman" w:hAnsi="Times New Roman" w:cs="Times New Roman"/>
          <w:sz w:val="28"/>
          <w:szCs w:val="28"/>
          <w:lang w:eastAsia="it-IT"/>
        </w:rPr>
        <w:t>0</w:t>
      </w:r>
      <w:r w:rsidRPr="009C5915">
        <w:rPr>
          <w:rFonts w:ascii="Times New Roman" w:hAnsi="Times New Roman" w:cs="Times New Roman"/>
          <w:sz w:val="28"/>
          <w:szCs w:val="28"/>
          <w:lang w:eastAsia="it-IT"/>
        </w:rPr>
        <w:t>% per</w:t>
      </w:r>
      <w:r>
        <w:rPr>
          <w:rFonts w:ascii="Times New Roman" w:hAnsi="Times New Roman" w:cs="Times New Roman"/>
          <w:sz w:val="28"/>
          <w:szCs w:val="28"/>
          <w:lang w:eastAsia="it-IT"/>
        </w:rPr>
        <w:t xml:space="preserve"> i buoni a</w:t>
      </w:r>
      <w:r w:rsidRPr="009C5915">
        <w:rPr>
          <w:rFonts w:ascii="Times New Roman" w:hAnsi="Times New Roman" w:cs="Times New Roman"/>
          <w:sz w:val="28"/>
          <w:szCs w:val="28"/>
          <w:lang w:eastAsia="it-IT"/>
        </w:rPr>
        <w:t xml:space="preserve"> 3 anni; </w:t>
      </w:r>
      <w:r>
        <w:rPr>
          <w:rFonts w:ascii="Times New Roman" w:hAnsi="Times New Roman" w:cs="Times New Roman"/>
          <w:sz w:val="28"/>
          <w:szCs w:val="28"/>
          <w:lang w:eastAsia="it-IT"/>
        </w:rPr>
        <w:t xml:space="preserve">fra il 6,875 e il </w:t>
      </w:r>
      <w:r w:rsidRPr="009C5915">
        <w:rPr>
          <w:rFonts w:ascii="Times New Roman" w:hAnsi="Times New Roman" w:cs="Times New Roman"/>
          <w:sz w:val="28"/>
          <w:szCs w:val="28"/>
          <w:lang w:eastAsia="it-IT"/>
        </w:rPr>
        <w:t>7,1</w:t>
      </w:r>
      <w:r>
        <w:rPr>
          <w:rFonts w:ascii="Times New Roman" w:hAnsi="Times New Roman" w:cs="Times New Roman"/>
          <w:sz w:val="28"/>
          <w:szCs w:val="28"/>
          <w:lang w:eastAsia="it-IT"/>
        </w:rPr>
        <w:t>2</w:t>
      </w:r>
      <w:r w:rsidRPr="009C5915">
        <w:rPr>
          <w:rFonts w:ascii="Times New Roman" w:hAnsi="Times New Roman" w:cs="Times New Roman"/>
          <w:sz w:val="28"/>
          <w:szCs w:val="28"/>
          <w:lang w:eastAsia="it-IT"/>
        </w:rPr>
        <w:t xml:space="preserve">5% </w:t>
      </w:r>
      <w:r>
        <w:rPr>
          <w:rFonts w:ascii="Times New Roman" w:hAnsi="Times New Roman" w:cs="Times New Roman"/>
          <w:sz w:val="28"/>
          <w:szCs w:val="28"/>
          <w:lang w:eastAsia="it-IT"/>
        </w:rPr>
        <w:t xml:space="preserve">per quelli </w:t>
      </w:r>
      <w:r w:rsidRPr="009C5915">
        <w:rPr>
          <w:rFonts w:ascii="Times New Roman" w:hAnsi="Times New Roman" w:cs="Times New Roman"/>
          <w:sz w:val="28"/>
          <w:szCs w:val="28"/>
          <w:lang w:eastAsia="it-IT"/>
        </w:rPr>
        <w:t xml:space="preserve">a 5 anni; </w:t>
      </w:r>
      <w:r>
        <w:rPr>
          <w:rFonts w:ascii="Times New Roman" w:hAnsi="Times New Roman" w:cs="Times New Roman"/>
          <w:sz w:val="28"/>
          <w:szCs w:val="28"/>
          <w:lang w:eastAsia="it-IT"/>
        </w:rPr>
        <w:t>fra l’7,5 e il 7,625% per quelli a 10 anni</w:t>
      </w:r>
      <w:r w:rsidRPr="009C5915">
        <w:rPr>
          <w:rFonts w:ascii="Times New Roman" w:hAnsi="Times New Roman" w:cs="Times New Roman"/>
          <w:sz w:val="28"/>
          <w:szCs w:val="28"/>
          <w:lang w:eastAsia="it-IT"/>
        </w:rPr>
        <w:t xml:space="preserve"> e</w:t>
      </w:r>
      <w:r>
        <w:rPr>
          <w:rFonts w:ascii="Times New Roman" w:hAnsi="Times New Roman" w:cs="Times New Roman"/>
          <w:sz w:val="28"/>
          <w:szCs w:val="28"/>
          <w:lang w:eastAsia="it-IT"/>
        </w:rPr>
        <w:t xml:space="preserve"> dell’8% per i titoli a </w:t>
      </w:r>
      <w:r w:rsidRPr="009C5915">
        <w:rPr>
          <w:rFonts w:ascii="Times New Roman" w:hAnsi="Times New Roman" w:cs="Times New Roman"/>
          <w:sz w:val="28"/>
          <w:szCs w:val="28"/>
          <w:lang w:eastAsia="it-IT"/>
        </w:rPr>
        <w:t>30 anni.</w:t>
      </w:r>
      <w:r>
        <w:rPr>
          <w:rFonts w:ascii="Times New Roman" w:hAnsi="Times New Roman" w:cs="Times New Roman"/>
          <w:sz w:val="28"/>
          <w:szCs w:val="28"/>
          <w:lang w:eastAsia="it-IT"/>
        </w:rPr>
        <w:t xml:space="preserve"> A termine di paragone, si evidenzia come un buono USA a 10 anni produca un rendimento dell’1,8% e un buono brasiliano renda attualmente il 6.1%. </w:t>
      </w:r>
    </w:p>
    <w:p w:rsidR="00236A85" w:rsidRPr="009C5915" w:rsidRDefault="00236A85" w:rsidP="00166560">
      <w:pPr>
        <w:spacing w:after="0" w:line="240" w:lineRule="auto"/>
        <w:jc w:val="both"/>
        <w:rPr>
          <w:rFonts w:ascii="Times New Roman" w:hAnsi="Times New Roman" w:cs="Times New Roman"/>
          <w:sz w:val="28"/>
          <w:szCs w:val="28"/>
          <w:lang w:eastAsia="it-IT"/>
        </w:rPr>
      </w:pPr>
    </w:p>
    <w:p w:rsidR="00236A85" w:rsidRDefault="00236A85" w:rsidP="00166560">
      <w:pPr>
        <w:spacing w:after="0" w:line="240" w:lineRule="auto"/>
        <w:jc w:val="both"/>
        <w:rPr>
          <w:rFonts w:ascii="Times New Roman" w:hAnsi="Times New Roman" w:cs="Times New Roman"/>
          <w:sz w:val="28"/>
          <w:szCs w:val="28"/>
          <w:lang w:eastAsia="it-IT"/>
        </w:rPr>
      </w:pPr>
      <w:r w:rsidRPr="009C5915">
        <w:rPr>
          <w:rFonts w:ascii="Times New Roman" w:hAnsi="Times New Roman" w:cs="Times New Roman"/>
          <w:sz w:val="28"/>
          <w:szCs w:val="28"/>
          <w:lang w:eastAsia="it-IT"/>
        </w:rPr>
        <w:t xml:space="preserve">In relazione al </w:t>
      </w:r>
      <w:r>
        <w:rPr>
          <w:rFonts w:ascii="Times New Roman" w:hAnsi="Times New Roman" w:cs="Times New Roman"/>
          <w:sz w:val="28"/>
          <w:szCs w:val="28"/>
          <w:lang w:eastAsia="it-IT"/>
        </w:rPr>
        <w:t xml:space="preserve">predetto collocamento, appaiono superate tutte le più ottimistiche aspettative. La domanda complessiva dei titoli avrebbe superato i 68,6 miliardi di Dollari USA, la cifra più alta mai ottenuta da una collocazione di titoli internazionali, secondo quanto dichiarato dal Ministro Prat Gay. Il 65% delle offerte è giunto dagli USA, il 14% dal Regno Unito, l’8% dal resto dell’Europa e, il 6% dall’America Latina, il 5% dall’Asia e il 2% dall’Australia. </w:t>
      </w:r>
    </w:p>
    <w:p w:rsidR="00236A85" w:rsidRDefault="00236A85" w:rsidP="00166560">
      <w:pPr>
        <w:spacing w:after="0" w:line="240" w:lineRule="auto"/>
        <w:jc w:val="both"/>
        <w:rPr>
          <w:rFonts w:ascii="Times New Roman" w:hAnsi="Times New Roman" w:cs="Times New Roman"/>
          <w:sz w:val="28"/>
          <w:szCs w:val="28"/>
          <w:lang w:eastAsia="it-IT"/>
        </w:rPr>
      </w:pPr>
    </w:p>
    <w:p w:rsidR="00236A85" w:rsidRDefault="00236A85" w:rsidP="00166560">
      <w:pPr>
        <w:spacing w:after="0" w:line="240" w:lineRule="auto"/>
        <w:jc w:val="both"/>
        <w:rPr>
          <w:rFonts w:ascii="Times New Roman" w:hAnsi="Times New Roman" w:cs="Times New Roman"/>
          <w:sz w:val="28"/>
          <w:szCs w:val="28"/>
          <w:lang w:eastAsia="it-IT"/>
        </w:rPr>
      </w:pPr>
      <w:r w:rsidRPr="009C5915">
        <w:rPr>
          <w:rFonts w:ascii="Times New Roman" w:hAnsi="Times New Roman" w:cs="Times New Roman"/>
          <w:sz w:val="28"/>
          <w:szCs w:val="28"/>
          <w:lang w:eastAsia="it-IT"/>
        </w:rPr>
        <w:t xml:space="preserve">I prospetti dei buoni </w:t>
      </w:r>
      <w:r>
        <w:rPr>
          <w:rFonts w:ascii="Times New Roman" w:hAnsi="Times New Roman" w:cs="Times New Roman"/>
          <w:sz w:val="28"/>
          <w:szCs w:val="28"/>
          <w:lang w:eastAsia="it-IT"/>
        </w:rPr>
        <w:t>da collocare includono clausole di salvaguardia che dovrebbero evitare eventuali azioni giudiziarie come quella appena conclusa</w:t>
      </w:r>
      <w:r w:rsidRPr="009C5915">
        <w:rPr>
          <w:rFonts w:ascii="Times New Roman" w:hAnsi="Times New Roman" w:cs="Times New Roman"/>
          <w:sz w:val="28"/>
          <w:szCs w:val="28"/>
          <w:lang w:eastAsia="it-IT"/>
        </w:rPr>
        <w:t xml:space="preserve">. </w:t>
      </w:r>
    </w:p>
    <w:p w:rsidR="00236A85" w:rsidRPr="009C5915" w:rsidRDefault="00236A85" w:rsidP="00166560">
      <w:pPr>
        <w:spacing w:after="0" w:line="240" w:lineRule="auto"/>
        <w:jc w:val="both"/>
        <w:rPr>
          <w:rFonts w:ascii="Times New Roman" w:hAnsi="Times New Roman" w:cs="Times New Roman"/>
          <w:sz w:val="28"/>
          <w:szCs w:val="28"/>
          <w:lang w:eastAsia="it-IT"/>
        </w:rPr>
      </w:pPr>
    </w:p>
    <w:p w:rsidR="00236A85" w:rsidRDefault="00236A85" w:rsidP="00166560">
      <w:pPr>
        <w:spacing w:after="0" w:line="240" w:lineRule="auto"/>
        <w:jc w:val="both"/>
        <w:rPr>
          <w:rFonts w:ascii="Times New Roman" w:hAnsi="Times New Roman" w:cs="Times New Roman"/>
          <w:sz w:val="28"/>
          <w:szCs w:val="28"/>
          <w:lang w:eastAsia="it-IT"/>
        </w:rPr>
      </w:pPr>
      <w:r>
        <w:rPr>
          <w:rFonts w:ascii="Times New Roman" w:hAnsi="Times New Roman" w:cs="Times New Roman"/>
          <w:sz w:val="28"/>
          <w:szCs w:val="28"/>
          <w:lang w:eastAsia="it-IT"/>
        </w:rPr>
        <w:t>Va rilevato come a completamento della strategia di reingresso del P</w:t>
      </w:r>
      <w:r w:rsidRPr="009C5915">
        <w:rPr>
          <w:rFonts w:ascii="Times New Roman" w:hAnsi="Times New Roman" w:cs="Times New Roman"/>
          <w:sz w:val="28"/>
          <w:szCs w:val="28"/>
          <w:lang w:eastAsia="it-IT"/>
        </w:rPr>
        <w:t xml:space="preserve">aese </w:t>
      </w:r>
      <w:r>
        <w:rPr>
          <w:rFonts w:ascii="Times New Roman" w:hAnsi="Times New Roman" w:cs="Times New Roman"/>
          <w:sz w:val="28"/>
          <w:szCs w:val="28"/>
          <w:lang w:eastAsia="it-IT"/>
        </w:rPr>
        <w:t>sui mercati finanziari mondiali</w:t>
      </w:r>
      <w:r w:rsidRPr="009C5915">
        <w:rPr>
          <w:rFonts w:ascii="Times New Roman" w:hAnsi="Times New Roman" w:cs="Times New Roman"/>
          <w:sz w:val="28"/>
          <w:szCs w:val="28"/>
          <w:lang w:eastAsia="it-IT"/>
        </w:rPr>
        <w:t xml:space="preserve">, </w:t>
      </w:r>
      <w:r>
        <w:rPr>
          <w:rFonts w:ascii="Times New Roman" w:hAnsi="Times New Roman" w:cs="Times New Roman"/>
          <w:sz w:val="28"/>
          <w:szCs w:val="28"/>
          <w:lang w:eastAsia="it-IT"/>
        </w:rPr>
        <w:t xml:space="preserve">divenga di fondamentale importanza </w:t>
      </w:r>
      <w:r w:rsidRPr="009C5915">
        <w:rPr>
          <w:rFonts w:ascii="Times New Roman" w:hAnsi="Times New Roman" w:cs="Times New Roman"/>
          <w:sz w:val="28"/>
          <w:szCs w:val="28"/>
          <w:lang w:eastAsia="it-IT"/>
        </w:rPr>
        <w:t xml:space="preserve">la normalizzazione del rapporto con il Fondo Monetario </w:t>
      </w:r>
      <w:r>
        <w:rPr>
          <w:rFonts w:ascii="Times New Roman" w:hAnsi="Times New Roman" w:cs="Times New Roman"/>
          <w:sz w:val="28"/>
          <w:szCs w:val="28"/>
          <w:lang w:eastAsia="it-IT"/>
        </w:rPr>
        <w:t>Internazionale, soprattutto come condizione per ulteriori investimenti strategici stranieri in Argentina</w:t>
      </w:r>
      <w:r w:rsidRPr="009C5915">
        <w:rPr>
          <w:rFonts w:ascii="Times New Roman" w:hAnsi="Times New Roman" w:cs="Times New Roman"/>
          <w:sz w:val="28"/>
          <w:szCs w:val="28"/>
          <w:lang w:eastAsia="it-IT"/>
        </w:rPr>
        <w:t xml:space="preserve">. </w:t>
      </w:r>
      <w:r>
        <w:rPr>
          <w:rFonts w:ascii="Times New Roman" w:hAnsi="Times New Roman" w:cs="Times New Roman"/>
          <w:sz w:val="28"/>
          <w:szCs w:val="28"/>
          <w:lang w:eastAsia="it-IT"/>
        </w:rPr>
        <w:t xml:space="preserve">Il Governo ha confermato che </w:t>
      </w:r>
      <w:r w:rsidRPr="009C5915">
        <w:rPr>
          <w:rFonts w:ascii="Times New Roman" w:hAnsi="Times New Roman" w:cs="Times New Roman"/>
          <w:sz w:val="28"/>
          <w:szCs w:val="28"/>
          <w:lang w:eastAsia="it-IT"/>
        </w:rPr>
        <w:t>nel mese di settembre</w:t>
      </w:r>
      <w:r>
        <w:rPr>
          <w:rFonts w:ascii="Times New Roman" w:hAnsi="Times New Roman" w:cs="Times New Roman"/>
          <w:sz w:val="28"/>
          <w:szCs w:val="28"/>
          <w:lang w:eastAsia="it-IT"/>
        </w:rPr>
        <w:t xml:space="preserve"> p.v. si svolgerà una missione ufficiale del FMI in Argentina, nel quadro di quanto stabilito dall’Articolo 4 dell’Accordo multilaterale che, come noto, prevede periodiche verifiche in loco dell’andamento delle principali variabili macroeconomiche. Appare utile evidenziare come le missioni del FMI fossero state sospese per decisione dell’allora Presidente Nestor Kirchner nel 2006, anno in cui l’Argentina aveva saldato i debiti nei confronti di tale organismo, attraverso l’impiego di circa 10 miliardi di dollari di riserve valutarie. </w:t>
      </w:r>
    </w:p>
    <w:p w:rsidR="00236A85" w:rsidRDefault="00236A85" w:rsidP="007A20A4">
      <w:pPr>
        <w:spacing w:after="0" w:line="240" w:lineRule="auto"/>
        <w:jc w:val="both"/>
        <w:rPr>
          <w:rFonts w:ascii="Times New Roman" w:hAnsi="Times New Roman" w:cs="Times New Roman"/>
          <w:sz w:val="28"/>
          <w:szCs w:val="28"/>
          <w:lang w:eastAsia="it-IT"/>
        </w:rPr>
      </w:pPr>
    </w:p>
    <w:p w:rsidR="00236A85" w:rsidRDefault="00236A85" w:rsidP="00F62C34">
      <w:pPr>
        <w:spacing w:after="0" w:line="240" w:lineRule="auto"/>
        <w:jc w:val="both"/>
        <w:rPr>
          <w:rFonts w:ascii="Times New Roman" w:hAnsi="Times New Roman" w:cs="Times New Roman"/>
          <w:sz w:val="28"/>
          <w:szCs w:val="28"/>
          <w:lang w:eastAsia="it-IT"/>
        </w:rPr>
      </w:pPr>
      <w:r>
        <w:rPr>
          <w:rFonts w:ascii="Times New Roman" w:hAnsi="Times New Roman" w:cs="Times New Roman"/>
          <w:sz w:val="28"/>
          <w:szCs w:val="28"/>
          <w:lang w:eastAsia="it-IT"/>
        </w:rPr>
        <w:t xml:space="preserve">Per quanto riguarda gli interessi italiani, si evidenzia come siano stati liquidati nel mese di aprile u.s. anche i </w:t>
      </w:r>
      <w:r w:rsidRPr="00F62C34">
        <w:rPr>
          <w:rFonts w:ascii="Times New Roman" w:hAnsi="Times New Roman" w:cs="Times New Roman"/>
          <w:sz w:val="28"/>
          <w:szCs w:val="28"/>
          <w:lang w:eastAsia="it-IT"/>
        </w:rPr>
        <w:t xml:space="preserve">circa 50.000 obbligazionisti italiani che non avevano partecipato alle intese del 2005 e del 2010 per la ristrutturazione del debito e che, rappresentati dalla Task Force Argentina, guidata da Nicola Stock, avevano avviato nel 2006, un contenzioso arbitrale presso l’International Centre for Settlement of Disputes (ICSID-CIADI) della </w:t>
      </w:r>
      <w:r>
        <w:rPr>
          <w:rFonts w:ascii="Times New Roman" w:hAnsi="Times New Roman" w:cs="Times New Roman"/>
          <w:sz w:val="28"/>
          <w:szCs w:val="28"/>
          <w:lang w:eastAsia="it-IT"/>
        </w:rPr>
        <w:t>Banca Mondiale. I</w:t>
      </w:r>
      <w:r w:rsidRPr="00F62C34">
        <w:rPr>
          <w:rFonts w:ascii="Times New Roman" w:hAnsi="Times New Roman" w:cs="Times New Roman"/>
          <w:sz w:val="28"/>
          <w:szCs w:val="28"/>
          <w:lang w:eastAsia="it-IT"/>
        </w:rPr>
        <w:t>n data 2.2.16</w:t>
      </w:r>
      <w:r>
        <w:rPr>
          <w:rFonts w:ascii="Times New Roman" w:hAnsi="Times New Roman" w:cs="Times New Roman"/>
          <w:sz w:val="28"/>
          <w:szCs w:val="28"/>
          <w:lang w:eastAsia="it-IT"/>
        </w:rPr>
        <w:t xml:space="preserve"> infatti anche la Task Force Argentina aveva raggiunto un accordo separato con il Governo Macri</w:t>
      </w:r>
      <w:r w:rsidRPr="00F62C34">
        <w:rPr>
          <w:rFonts w:ascii="Times New Roman" w:hAnsi="Times New Roman" w:cs="Times New Roman"/>
          <w:sz w:val="28"/>
          <w:szCs w:val="28"/>
          <w:lang w:eastAsia="it-IT"/>
        </w:rPr>
        <w:t>. Gli importi rimborsati ammontano a 900 milioni di dollari in conto capitale ai quali si aggiunge una somma per interessi, calcolati nella misura del 3% annuale. Il totale, pari a circa 1.350 milioni di dollari costituisce, quindi, circa il 150% dell’importo relativo al valore originario delle obbligazioni.</w:t>
      </w:r>
      <w:bookmarkStart w:id="0" w:name="_GoBack"/>
      <w:bookmarkEnd w:id="0"/>
    </w:p>
    <w:p w:rsidR="00236A85" w:rsidRDefault="00236A85" w:rsidP="00F62C34">
      <w:pPr>
        <w:spacing w:after="0" w:line="240" w:lineRule="auto"/>
        <w:jc w:val="both"/>
        <w:rPr>
          <w:rFonts w:ascii="Times New Roman" w:hAnsi="Times New Roman" w:cs="Times New Roman"/>
          <w:sz w:val="28"/>
          <w:szCs w:val="28"/>
          <w:lang w:eastAsia="it-IT"/>
        </w:rPr>
      </w:pPr>
    </w:p>
    <w:p w:rsidR="00236A85" w:rsidRPr="00217A7D" w:rsidRDefault="00236A85" w:rsidP="00F62C34">
      <w:pPr>
        <w:spacing w:after="0" w:line="240" w:lineRule="auto"/>
        <w:jc w:val="both"/>
        <w:rPr>
          <w:rFonts w:ascii="Times New Roman" w:hAnsi="Times New Roman" w:cs="Times New Roman"/>
          <w:b/>
          <w:bCs/>
          <w:sz w:val="16"/>
          <w:szCs w:val="16"/>
          <w:lang w:eastAsia="it-IT"/>
        </w:rPr>
      </w:pPr>
      <w:r>
        <w:rPr>
          <w:rFonts w:ascii="Times New Roman" w:hAnsi="Times New Roman" w:cs="Times New Roman"/>
          <w:b/>
          <w:bCs/>
          <w:sz w:val="16"/>
          <w:szCs w:val="16"/>
          <w:lang w:eastAsia="it-IT"/>
        </w:rPr>
        <w:t>Ambasciata d’Italia – Maggio 2016</w:t>
      </w:r>
    </w:p>
    <w:sectPr w:rsidR="00236A85" w:rsidRPr="00217A7D" w:rsidSect="0098345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6560"/>
    <w:rsid w:val="00166560"/>
    <w:rsid w:val="00217A7D"/>
    <w:rsid w:val="00236A85"/>
    <w:rsid w:val="00332DA7"/>
    <w:rsid w:val="00450FC2"/>
    <w:rsid w:val="004F2B07"/>
    <w:rsid w:val="00655E28"/>
    <w:rsid w:val="006711A0"/>
    <w:rsid w:val="007A20A4"/>
    <w:rsid w:val="00833821"/>
    <w:rsid w:val="008959EA"/>
    <w:rsid w:val="008F3FD9"/>
    <w:rsid w:val="00983453"/>
    <w:rsid w:val="00985B04"/>
    <w:rsid w:val="009C5915"/>
    <w:rsid w:val="009C605A"/>
    <w:rsid w:val="00AC0B4A"/>
    <w:rsid w:val="00B474F3"/>
    <w:rsid w:val="00B80A41"/>
    <w:rsid w:val="00C37CD1"/>
    <w:rsid w:val="00E66E8F"/>
    <w:rsid w:val="00EC5AD4"/>
    <w:rsid w:val="00F62C3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56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262</TotalTime>
  <Pages>2</Pages>
  <Words>826</Words>
  <Characters>4709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Capecchi</dc:creator>
  <cp:keywords/>
  <dc:description/>
  <cp:lastModifiedBy>stefania.abati</cp:lastModifiedBy>
  <cp:revision>5</cp:revision>
  <dcterms:created xsi:type="dcterms:W3CDTF">2016-05-11T16:02:00Z</dcterms:created>
  <dcterms:modified xsi:type="dcterms:W3CDTF">2016-05-27T11:36:00Z</dcterms:modified>
</cp:coreProperties>
</file>