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3B" w:rsidRDefault="00C1693B" w:rsidP="00E440A7">
      <w:pPr>
        <w:pStyle w:val="Titolo1"/>
        <w:spacing w:before="0"/>
        <w:rPr>
          <w:rFonts w:ascii="Times New Roman" w:hAnsi="Times New Roman" w:cs="Times New Roman"/>
          <w:sz w:val="24"/>
          <w:szCs w:val="24"/>
        </w:rPr>
      </w:pPr>
    </w:p>
    <w:p w:rsidR="00623B50" w:rsidRPr="00C1693B" w:rsidRDefault="00022FFC" w:rsidP="00E440A7">
      <w:pPr>
        <w:pStyle w:val="Titolo1"/>
        <w:spacing w:before="0"/>
        <w:rPr>
          <w:rFonts w:ascii="Times New Roman" w:hAnsi="Times New Roman" w:cs="Times New Roman"/>
          <w:sz w:val="24"/>
          <w:szCs w:val="24"/>
        </w:rPr>
      </w:pPr>
      <w:r w:rsidRPr="00C1693B">
        <w:rPr>
          <w:rFonts w:ascii="Times New Roman" w:hAnsi="Times New Roman" w:cs="Times New Roman"/>
          <w:sz w:val="24"/>
          <w:szCs w:val="24"/>
        </w:rPr>
        <w:t>UZBEKISTAN: PROFILO ENERGETICO</w:t>
      </w:r>
    </w:p>
    <w:p w:rsidR="006149A5" w:rsidRPr="00C1693B" w:rsidRDefault="006149A5" w:rsidP="00E440A7">
      <w:pPr>
        <w:rPr>
          <w:rFonts w:cs="Times New Roman"/>
        </w:rPr>
      </w:pPr>
    </w:p>
    <w:p w:rsidR="00623B50" w:rsidRPr="00C1693B" w:rsidRDefault="00E440A7" w:rsidP="00E440A7">
      <w:pPr>
        <w:rPr>
          <w:rFonts w:cs="Times New Roman"/>
        </w:rPr>
      </w:pPr>
      <w:r w:rsidRPr="00C1693B">
        <w:rPr>
          <w:rFonts w:cs="Times New Roman"/>
        </w:rPr>
        <w:t xml:space="preserve">Il </w:t>
      </w:r>
      <w:r w:rsidR="0092291C" w:rsidRPr="00C1693B">
        <w:rPr>
          <w:rFonts w:cs="Times New Roman"/>
        </w:rPr>
        <w:t>sistema energetico dell’Uzbekis</w:t>
      </w:r>
      <w:r w:rsidR="00C67CEF" w:rsidRPr="00C1693B">
        <w:rPr>
          <w:rFonts w:cs="Times New Roman"/>
        </w:rPr>
        <w:t xml:space="preserve">tan non esprime </w:t>
      </w:r>
      <w:r w:rsidRPr="00C1693B">
        <w:rPr>
          <w:rFonts w:cs="Times New Roman"/>
        </w:rPr>
        <w:t xml:space="preserve">ancora </w:t>
      </w:r>
      <w:r w:rsidR="00C67CEF" w:rsidRPr="00C1693B">
        <w:rPr>
          <w:rFonts w:cs="Times New Roman"/>
        </w:rPr>
        <w:t xml:space="preserve">l’enorme potenziale del </w:t>
      </w:r>
      <w:r w:rsidRPr="00C1693B">
        <w:rPr>
          <w:rFonts w:cs="Times New Roman"/>
        </w:rPr>
        <w:t>P</w:t>
      </w:r>
      <w:r w:rsidR="00C67CEF" w:rsidRPr="00C1693B">
        <w:rPr>
          <w:rFonts w:cs="Times New Roman"/>
        </w:rPr>
        <w:t>aese, ma anzi</w:t>
      </w:r>
      <w:r w:rsidR="006149A5" w:rsidRPr="00C1693B">
        <w:rPr>
          <w:rFonts w:cs="Times New Roman"/>
        </w:rPr>
        <w:t xml:space="preserve"> è, per eredità annosa e deficit strutturali, sostanzialmente al di sotto di quelle che potrebbero essere le sue reali capacità</w:t>
      </w:r>
      <w:r w:rsidR="00FA73B2" w:rsidRPr="00C1693B">
        <w:rPr>
          <w:rFonts w:cs="Times New Roman"/>
        </w:rPr>
        <w:t>. L</w:t>
      </w:r>
      <w:r w:rsidR="0092291C" w:rsidRPr="00C1693B">
        <w:rPr>
          <w:rFonts w:cs="Times New Roman"/>
        </w:rPr>
        <w:t>e risorse e le possibilità p</w:t>
      </w:r>
      <w:r w:rsidR="00FA73B2" w:rsidRPr="00C1693B">
        <w:rPr>
          <w:rFonts w:cs="Times New Roman"/>
        </w:rPr>
        <w:t>er produrre energia non mancano</w:t>
      </w:r>
      <w:r w:rsidR="0092291C" w:rsidRPr="00C1693B">
        <w:rPr>
          <w:rFonts w:cs="Times New Roman"/>
        </w:rPr>
        <w:t xml:space="preserve"> sul suo territorio, </w:t>
      </w:r>
      <w:r w:rsidR="00FA73B2" w:rsidRPr="00C1693B">
        <w:rPr>
          <w:rFonts w:cs="Times New Roman"/>
        </w:rPr>
        <w:t xml:space="preserve">tuttavia </w:t>
      </w:r>
      <w:r w:rsidR="0092291C" w:rsidRPr="00C1693B">
        <w:rPr>
          <w:rFonts w:cs="Times New Roman"/>
        </w:rPr>
        <w:t xml:space="preserve">il </w:t>
      </w:r>
      <w:r w:rsidRPr="00C1693B">
        <w:rPr>
          <w:rFonts w:cs="Times New Roman"/>
        </w:rPr>
        <w:t>P</w:t>
      </w:r>
      <w:r w:rsidR="0092291C" w:rsidRPr="00C1693B">
        <w:rPr>
          <w:rFonts w:cs="Times New Roman"/>
        </w:rPr>
        <w:t xml:space="preserve">aese accusa una cattiva gestione della rete, </w:t>
      </w:r>
      <w:r w:rsidRPr="00C1693B">
        <w:rPr>
          <w:rFonts w:cs="Times New Roman"/>
        </w:rPr>
        <w:t>un’</w:t>
      </w:r>
      <w:r w:rsidR="0092291C" w:rsidRPr="00C1693B">
        <w:rPr>
          <w:rFonts w:cs="Times New Roman"/>
        </w:rPr>
        <w:t xml:space="preserve">inefficienza del settore industriale e la </w:t>
      </w:r>
      <w:r w:rsidR="00342AE4" w:rsidRPr="00C1693B">
        <w:rPr>
          <w:rFonts w:cs="Times New Roman"/>
        </w:rPr>
        <w:t>mancanza</w:t>
      </w:r>
      <w:r w:rsidR="0092291C" w:rsidRPr="00C1693B">
        <w:rPr>
          <w:rFonts w:cs="Times New Roman"/>
        </w:rPr>
        <w:t xml:space="preserve"> di </w:t>
      </w:r>
      <w:r w:rsidR="00342AE4" w:rsidRPr="00C1693B">
        <w:rPr>
          <w:rFonts w:cs="Times New Roman"/>
        </w:rPr>
        <w:t xml:space="preserve">una </w:t>
      </w:r>
      <w:r w:rsidR="0092291C" w:rsidRPr="00C1693B">
        <w:rPr>
          <w:rFonts w:cs="Times New Roman"/>
        </w:rPr>
        <w:t xml:space="preserve">programmazione per lo sviluppo dei giacimenti di gas e petrolio. Soprattutto il primo è presente in larga quantità nel sottosuolo, ma la velocità con cui </w:t>
      </w:r>
      <w:r w:rsidR="00342AE4" w:rsidRPr="00C1693B">
        <w:rPr>
          <w:rFonts w:cs="Times New Roman"/>
        </w:rPr>
        <w:t>è</w:t>
      </w:r>
      <w:r w:rsidR="0092291C" w:rsidRPr="00C1693B">
        <w:rPr>
          <w:rFonts w:cs="Times New Roman"/>
        </w:rPr>
        <w:t xml:space="preserve"> estratto supera quella di nuove scoperte di giacimenti, cosicché al tasso di produzione odierno le riserve non </w:t>
      </w:r>
      <w:r w:rsidR="00342AE4" w:rsidRPr="00C1693B">
        <w:rPr>
          <w:rFonts w:cs="Times New Roman"/>
        </w:rPr>
        <w:t xml:space="preserve">potranno essere assicurate per oltre un trentennio. </w:t>
      </w:r>
      <w:r w:rsidR="0092291C" w:rsidRPr="00C1693B">
        <w:rPr>
          <w:rFonts w:cs="Times New Roman"/>
        </w:rPr>
        <w:t xml:space="preserve">Le </w:t>
      </w:r>
      <w:r w:rsidRPr="00C1693B">
        <w:rPr>
          <w:rFonts w:cs="Times New Roman"/>
        </w:rPr>
        <w:t>possibilità</w:t>
      </w:r>
      <w:r w:rsidR="0092291C" w:rsidRPr="00C1693B">
        <w:rPr>
          <w:rFonts w:cs="Times New Roman"/>
        </w:rPr>
        <w:t xml:space="preserve"> politiche</w:t>
      </w:r>
      <w:r w:rsidR="005C5A4F" w:rsidRPr="00C1693B">
        <w:rPr>
          <w:rFonts w:cs="Times New Roman"/>
        </w:rPr>
        <w:t xml:space="preserve"> per le esportazioni</w:t>
      </w:r>
      <w:r w:rsidR="0092291C" w:rsidRPr="00C1693B">
        <w:rPr>
          <w:rFonts w:cs="Times New Roman"/>
        </w:rPr>
        <w:t xml:space="preserve"> inoltre sembrano esaur</w:t>
      </w:r>
      <w:r w:rsidR="00712687" w:rsidRPr="00C1693B">
        <w:rPr>
          <w:rFonts w:cs="Times New Roman"/>
        </w:rPr>
        <w:t xml:space="preserve">irsi alla Russia e alla Cina, </w:t>
      </w:r>
      <w:r w:rsidR="00342AE4" w:rsidRPr="00C1693B">
        <w:rPr>
          <w:rFonts w:cs="Times New Roman"/>
        </w:rPr>
        <w:t xml:space="preserve">sia </w:t>
      </w:r>
      <w:r w:rsidR="00712687" w:rsidRPr="00C1693B">
        <w:rPr>
          <w:rFonts w:cs="Times New Roman"/>
        </w:rPr>
        <w:t xml:space="preserve">per ragioni geografiche </w:t>
      </w:r>
      <w:r w:rsidR="00342AE4" w:rsidRPr="00C1693B">
        <w:rPr>
          <w:rFonts w:cs="Times New Roman"/>
        </w:rPr>
        <w:t xml:space="preserve">sia </w:t>
      </w:r>
      <w:r w:rsidR="00712687" w:rsidRPr="00C1693B">
        <w:rPr>
          <w:rFonts w:cs="Times New Roman"/>
        </w:rPr>
        <w:t>di collegamenti</w:t>
      </w:r>
      <w:r w:rsidR="00342AE4" w:rsidRPr="00C1693B">
        <w:rPr>
          <w:rFonts w:cs="Times New Roman"/>
        </w:rPr>
        <w:t xml:space="preserve">. </w:t>
      </w:r>
      <w:r w:rsidR="006149A5" w:rsidRPr="00C1693B">
        <w:rPr>
          <w:rFonts w:cs="Times New Roman"/>
        </w:rPr>
        <w:t xml:space="preserve">Soprattutto la Russia non è nuova a una politica aggressiva atta a porsi come unico </w:t>
      </w:r>
      <w:r w:rsidR="00342AE4" w:rsidRPr="00C1693B">
        <w:rPr>
          <w:rFonts w:cs="Times New Roman"/>
        </w:rPr>
        <w:t xml:space="preserve">cliente </w:t>
      </w:r>
      <w:r w:rsidR="006149A5" w:rsidRPr="00C1693B">
        <w:rPr>
          <w:rFonts w:cs="Times New Roman"/>
        </w:rPr>
        <w:t xml:space="preserve">e fornitore di materie prime. </w:t>
      </w:r>
      <w:r w:rsidR="00712687" w:rsidRPr="00C1693B">
        <w:rPr>
          <w:rFonts w:cs="Times New Roman"/>
        </w:rPr>
        <w:t>Tuttavia</w:t>
      </w:r>
      <w:r w:rsidR="00342AE4" w:rsidRPr="00C1693B">
        <w:rPr>
          <w:rFonts w:cs="Times New Roman"/>
        </w:rPr>
        <w:t>,</w:t>
      </w:r>
      <w:r w:rsidR="00712687" w:rsidRPr="00C1693B">
        <w:rPr>
          <w:rFonts w:cs="Times New Roman"/>
        </w:rPr>
        <w:t xml:space="preserve"> sforzi per ammodernare e rendere ef</w:t>
      </w:r>
      <w:r w:rsidR="005C5A4F" w:rsidRPr="00C1693B">
        <w:rPr>
          <w:rFonts w:cs="Times New Roman"/>
        </w:rPr>
        <w:t>ficiente il sistema energetico</w:t>
      </w:r>
      <w:r w:rsidR="00712687" w:rsidRPr="00C1693B">
        <w:rPr>
          <w:rFonts w:cs="Times New Roman"/>
        </w:rPr>
        <w:t xml:space="preserve"> sono sul ta</w:t>
      </w:r>
      <w:r w:rsidR="005C5A4F" w:rsidRPr="00C1693B">
        <w:rPr>
          <w:rFonts w:cs="Times New Roman"/>
        </w:rPr>
        <w:t xml:space="preserve">volo delle </w:t>
      </w:r>
      <w:r w:rsidR="00342AE4" w:rsidRPr="00C1693B">
        <w:rPr>
          <w:rFonts w:cs="Times New Roman"/>
        </w:rPr>
        <w:t>A</w:t>
      </w:r>
      <w:r w:rsidR="005C5A4F" w:rsidRPr="00C1693B">
        <w:rPr>
          <w:rFonts w:cs="Times New Roman"/>
        </w:rPr>
        <w:t>utorità competenti,</w:t>
      </w:r>
      <w:r w:rsidR="00712687" w:rsidRPr="00C1693B">
        <w:rPr>
          <w:rFonts w:cs="Times New Roman"/>
        </w:rPr>
        <w:t xml:space="preserve"> ed è alla luce dei risultati ottenuti che si potrà dire se il potenziale del </w:t>
      </w:r>
      <w:r w:rsidRPr="00C1693B">
        <w:rPr>
          <w:rFonts w:cs="Times New Roman"/>
        </w:rPr>
        <w:t>P</w:t>
      </w:r>
      <w:r w:rsidR="00712687" w:rsidRPr="00C1693B">
        <w:rPr>
          <w:rFonts w:cs="Times New Roman"/>
        </w:rPr>
        <w:t>aese, rimarrà una promessa non mantenuta o diverrà una realtà in questo settore dell’economia mondiale, oggi più che mai strategico.</w:t>
      </w:r>
    </w:p>
    <w:p w:rsidR="00623B50" w:rsidRDefault="00623B50" w:rsidP="00E440A7">
      <w:pPr>
        <w:rPr>
          <w:rFonts w:cs="Times New Roman"/>
          <w:b/>
        </w:rPr>
      </w:pPr>
    </w:p>
    <w:p w:rsidR="00C1693B" w:rsidRPr="00C1693B" w:rsidRDefault="00C1693B" w:rsidP="00E440A7">
      <w:pPr>
        <w:rPr>
          <w:rFonts w:cs="Times New Roman"/>
          <w:b/>
        </w:rPr>
      </w:pPr>
    </w:p>
    <w:p w:rsidR="00B23E67" w:rsidRPr="00C1693B" w:rsidRDefault="00022FFC" w:rsidP="00E440A7">
      <w:pPr>
        <w:pStyle w:val="Titolo2"/>
        <w:spacing w:before="0"/>
        <w:rPr>
          <w:rFonts w:ascii="Times New Roman" w:hAnsi="Times New Roman" w:cs="Times New Roman"/>
          <w:sz w:val="24"/>
          <w:szCs w:val="24"/>
        </w:rPr>
      </w:pPr>
      <w:r w:rsidRPr="00C1693B">
        <w:rPr>
          <w:rFonts w:ascii="Times New Roman" w:hAnsi="Times New Roman" w:cs="Times New Roman"/>
          <w:sz w:val="24"/>
          <w:szCs w:val="24"/>
        </w:rPr>
        <w:t>Elettricità</w:t>
      </w:r>
    </w:p>
    <w:p w:rsidR="00C1693B" w:rsidRDefault="00C1693B" w:rsidP="00E440A7">
      <w:pPr>
        <w:rPr>
          <w:rFonts w:cs="Times New Roman"/>
        </w:rPr>
      </w:pPr>
    </w:p>
    <w:p w:rsidR="00EF40F6" w:rsidRDefault="00B23E67" w:rsidP="00E440A7">
      <w:pPr>
        <w:rPr>
          <w:rFonts w:cs="Times New Roman"/>
        </w:rPr>
      </w:pPr>
      <w:r w:rsidRPr="00C1693B">
        <w:rPr>
          <w:rFonts w:cs="Times New Roman"/>
        </w:rPr>
        <w:t>L’Uzbekistan ha una potenza istallata</w:t>
      </w:r>
      <w:r w:rsidR="00740883" w:rsidRPr="00C1693B">
        <w:rPr>
          <w:rFonts w:cs="Times New Roman"/>
        </w:rPr>
        <w:t xml:space="preserve"> di 12.300 MW sotto il controllo e la gestione della societ</w:t>
      </w:r>
      <w:r w:rsidR="003F3E72" w:rsidRPr="00C1693B">
        <w:rPr>
          <w:rFonts w:cs="Times New Roman"/>
        </w:rPr>
        <w:t>à per azioni statale Uzbekenergo</w:t>
      </w:r>
      <w:r w:rsidR="00DD5324" w:rsidRPr="00C1693B">
        <w:rPr>
          <w:rFonts w:cs="Times New Roman"/>
        </w:rPr>
        <w:t>,</w:t>
      </w:r>
      <w:r w:rsidR="00740883" w:rsidRPr="00C1693B">
        <w:rPr>
          <w:rFonts w:cs="Times New Roman"/>
        </w:rPr>
        <w:t xml:space="preserve"> più 300 MW che non rientrano nella sua giurisdizione</w:t>
      </w:r>
      <w:r w:rsidR="00E440A7" w:rsidRPr="00C1693B">
        <w:rPr>
          <w:rFonts w:cs="Times New Roman"/>
        </w:rPr>
        <w:t xml:space="preserve">, </w:t>
      </w:r>
      <w:r w:rsidR="00CD7C94" w:rsidRPr="00C1693B">
        <w:rPr>
          <w:rFonts w:cs="Times New Roman"/>
        </w:rPr>
        <w:t>principalmente in mano a privati</w:t>
      </w:r>
      <w:r w:rsidR="00740883" w:rsidRPr="00C1693B">
        <w:rPr>
          <w:rFonts w:cs="Times New Roman"/>
        </w:rPr>
        <w:t>. Della potenza istallata dalla compagni</w:t>
      </w:r>
      <w:r w:rsidR="00EF40F6" w:rsidRPr="00C1693B">
        <w:rPr>
          <w:rFonts w:cs="Times New Roman"/>
        </w:rPr>
        <w:t>a</w:t>
      </w:r>
      <w:r w:rsidR="00740883" w:rsidRPr="00C1693B">
        <w:rPr>
          <w:rFonts w:cs="Times New Roman"/>
        </w:rPr>
        <w:t xml:space="preserve"> di stato</w:t>
      </w:r>
      <w:r w:rsidR="00217ADF" w:rsidRPr="00C1693B">
        <w:rPr>
          <w:rFonts w:cs="Times New Roman"/>
        </w:rPr>
        <w:t xml:space="preserve"> 10.600</w:t>
      </w:r>
      <w:r w:rsidR="00740883" w:rsidRPr="00C1693B">
        <w:rPr>
          <w:rFonts w:cs="Times New Roman"/>
        </w:rPr>
        <w:t xml:space="preserve"> MW</w:t>
      </w:r>
      <w:r w:rsidR="00217ADF" w:rsidRPr="00C1693B">
        <w:rPr>
          <w:rFonts w:cs="Times New Roman"/>
        </w:rPr>
        <w:t xml:space="preserve"> sono rappresentati da 11 centrali termiche (TPP), mentre i restanti 1700 da 28 centrali idroelettriche</w:t>
      </w:r>
      <w:r w:rsidR="00342AE4" w:rsidRPr="00C1693B">
        <w:rPr>
          <w:rFonts w:cs="Times New Roman"/>
        </w:rPr>
        <w:t xml:space="preserve"> </w:t>
      </w:r>
      <w:r w:rsidR="00EF40F6" w:rsidRPr="00C1693B">
        <w:rPr>
          <w:rFonts w:cs="Times New Roman"/>
        </w:rPr>
        <w:t>(HPP)</w:t>
      </w:r>
      <w:r w:rsidR="00217ADF" w:rsidRPr="00C1693B">
        <w:rPr>
          <w:rFonts w:cs="Times New Roman"/>
        </w:rPr>
        <w:t xml:space="preserve">. L’87% delle TPP sfrutta come combustibile </w:t>
      </w:r>
      <w:r w:rsidR="00740883" w:rsidRPr="00C1693B">
        <w:rPr>
          <w:rFonts w:cs="Times New Roman"/>
        </w:rPr>
        <w:t>il m</w:t>
      </w:r>
      <w:r w:rsidR="00217ADF" w:rsidRPr="00C1693B">
        <w:rPr>
          <w:rFonts w:cs="Times New Roman"/>
        </w:rPr>
        <w:t xml:space="preserve">etano, mentre il restante 13% e </w:t>
      </w:r>
      <w:r w:rsidR="00342AE4" w:rsidRPr="00C1693B">
        <w:rPr>
          <w:rFonts w:cs="Times New Roman"/>
        </w:rPr>
        <w:t xml:space="preserve">diviso </w:t>
      </w:r>
      <w:r w:rsidR="00217ADF" w:rsidRPr="00C1693B">
        <w:rPr>
          <w:rFonts w:cs="Times New Roman"/>
        </w:rPr>
        <w:t>tra</w:t>
      </w:r>
      <w:r w:rsidR="00EF40F6" w:rsidRPr="00C1693B">
        <w:rPr>
          <w:rFonts w:cs="Times New Roman"/>
        </w:rPr>
        <w:t xml:space="preserve"> carbone (8,6%) e mazut</w:t>
      </w:r>
      <w:r w:rsidR="005C5A4F" w:rsidRPr="00C1693B">
        <w:rPr>
          <w:rFonts w:cs="Times New Roman"/>
        </w:rPr>
        <w:t xml:space="preserve"> (</w:t>
      </w:r>
      <w:r w:rsidR="00EF40F6" w:rsidRPr="00C1693B">
        <w:rPr>
          <w:rFonts w:cs="Times New Roman"/>
        </w:rPr>
        <w:t xml:space="preserve">4,4%), quest’ultimo è un olio combustibile di bassa qualità derivato dalla raffinazione del petrolio. </w:t>
      </w:r>
    </w:p>
    <w:p w:rsidR="00C1693B" w:rsidRPr="00C1693B" w:rsidRDefault="00C1693B" w:rsidP="00E440A7">
      <w:pPr>
        <w:rPr>
          <w:rFonts w:cs="Times New Roman"/>
        </w:rPr>
      </w:pPr>
    </w:p>
    <w:p w:rsidR="00806353" w:rsidRPr="00C1693B" w:rsidRDefault="00EF40F6" w:rsidP="00E440A7">
      <w:pPr>
        <w:rPr>
          <w:rFonts w:cs="Times New Roman"/>
        </w:rPr>
      </w:pPr>
      <w:r w:rsidRPr="00C1693B">
        <w:rPr>
          <w:rFonts w:cs="Times New Roman"/>
        </w:rPr>
        <w:lastRenderedPageBreak/>
        <w:t>Maggiori TPP dell’Uzbekenergo</w:t>
      </w:r>
    </w:p>
    <w:tbl>
      <w:tblPr>
        <w:tblStyle w:val="Grigliatabella"/>
        <w:tblW w:w="8472" w:type="dxa"/>
        <w:tblLayout w:type="fixed"/>
        <w:tblLook w:val="00BF"/>
      </w:tblPr>
      <w:tblGrid>
        <w:gridCol w:w="1634"/>
        <w:gridCol w:w="1601"/>
        <w:gridCol w:w="1837"/>
        <w:gridCol w:w="1595"/>
        <w:gridCol w:w="1805"/>
      </w:tblGrid>
      <w:tr w:rsidR="009610FC" w:rsidRPr="00C1693B">
        <w:trPr>
          <w:trHeight w:val="374"/>
        </w:trPr>
        <w:tc>
          <w:tcPr>
            <w:tcW w:w="1634" w:type="dxa"/>
          </w:tcPr>
          <w:p w:rsidR="00E522B8" w:rsidRPr="00C1693B" w:rsidRDefault="009610FC" w:rsidP="00E440A7">
            <w:pPr>
              <w:rPr>
                <w:rFonts w:cs="Times New Roman"/>
              </w:rPr>
            </w:pPr>
            <w:r w:rsidRPr="00C1693B">
              <w:rPr>
                <w:rFonts w:cs="Times New Roman"/>
              </w:rPr>
              <w:t>IMPIANTO</w:t>
            </w:r>
          </w:p>
        </w:tc>
        <w:tc>
          <w:tcPr>
            <w:tcW w:w="1601" w:type="dxa"/>
          </w:tcPr>
          <w:p w:rsidR="00E522B8" w:rsidRPr="00C1693B" w:rsidRDefault="009610FC" w:rsidP="00E440A7">
            <w:pPr>
              <w:rPr>
                <w:rFonts w:cs="Times New Roman"/>
              </w:rPr>
            </w:pPr>
            <w:r w:rsidRPr="00C1693B">
              <w:rPr>
                <w:rFonts w:cs="Times New Roman"/>
              </w:rPr>
              <w:t>POTENZA</w:t>
            </w:r>
          </w:p>
        </w:tc>
        <w:tc>
          <w:tcPr>
            <w:tcW w:w="1837" w:type="dxa"/>
          </w:tcPr>
          <w:p w:rsidR="00E522B8" w:rsidRPr="00C1693B" w:rsidRDefault="009610FC" w:rsidP="00E440A7">
            <w:pPr>
              <w:rPr>
                <w:rFonts w:cs="Times New Roman"/>
              </w:rPr>
            </w:pPr>
            <w:r w:rsidRPr="00C1693B">
              <w:rPr>
                <w:rFonts w:cs="Times New Roman"/>
              </w:rPr>
              <w:t>COMBUSTIBILE</w:t>
            </w:r>
          </w:p>
        </w:tc>
        <w:tc>
          <w:tcPr>
            <w:tcW w:w="1595" w:type="dxa"/>
          </w:tcPr>
          <w:p w:rsidR="00E522B8" w:rsidRPr="00C1693B" w:rsidRDefault="009610FC" w:rsidP="00E440A7">
            <w:pPr>
              <w:rPr>
                <w:rFonts w:cs="Times New Roman"/>
              </w:rPr>
            </w:pPr>
            <w:r w:rsidRPr="00C1693B">
              <w:rPr>
                <w:rFonts w:cs="Times New Roman"/>
              </w:rPr>
              <w:t>No. TURBINE</w:t>
            </w:r>
          </w:p>
        </w:tc>
        <w:tc>
          <w:tcPr>
            <w:tcW w:w="1805" w:type="dxa"/>
          </w:tcPr>
          <w:p w:rsidR="00E522B8" w:rsidRPr="00C1693B" w:rsidRDefault="009610FC" w:rsidP="00E440A7">
            <w:pPr>
              <w:rPr>
                <w:rFonts w:cs="Times New Roman"/>
              </w:rPr>
            </w:pPr>
            <w:r w:rsidRPr="00C1693B">
              <w:rPr>
                <w:rFonts w:cs="Times New Roman"/>
              </w:rPr>
              <w:t>COSTRUZIONE</w:t>
            </w:r>
          </w:p>
        </w:tc>
      </w:tr>
      <w:tr w:rsidR="009610FC" w:rsidRPr="00C1693B">
        <w:trPr>
          <w:trHeight w:val="374"/>
        </w:trPr>
        <w:tc>
          <w:tcPr>
            <w:tcW w:w="1634" w:type="dxa"/>
          </w:tcPr>
          <w:p w:rsidR="00E522B8" w:rsidRPr="00C1693B" w:rsidRDefault="009610FC" w:rsidP="00E440A7">
            <w:pPr>
              <w:rPr>
                <w:rFonts w:cs="Times New Roman"/>
              </w:rPr>
            </w:pPr>
            <w:r w:rsidRPr="00C1693B">
              <w:rPr>
                <w:rFonts w:cs="Times New Roman"/>
              </w:rPr>
              <w:t>Syrdarya</w:t>
            </w:r>
          </w:p>
        </w:tc>
        <w:tc>
          <w:tcPr>
            <w:tcW w:w="1601" w:type="dxa"/>
          </w:tcPr>
          <w:p w:rsidR="00E522B8" w:rsidRPr="00C1693B" w:rsidRDefault="009610FC" w:rsidP="00E440A7">
            <w:pPr>
              <w:rPr>
                <w:rFonts w:cs="Times New Roman"/>
              </w:rPr>
            </w:pPr>
            <w:r w:rsidRPr="00C1693B">
              <w:rPr>
                <w:rFonts w:cs="Times New Roman"/>
              </w:rPr>
              <w:t>3000MW</w:t>
            </w:r>
          </w:p>
        </w:tc>
        <w:tc>
          <w:tcPr>
            <w:tcW w:w="1837" w:type="dxa"/>
          </w:tcPr>
          <w:p w:rsidR="00E522B8" w:rsidRPr="00C1693B" w:rsidRDefault="00F30876" w:rsidP="00E440A7">
            <w:pPr>
              <w:rPr>
                <w:rFonts w:cs="Times New Roman"/>
              </w:rPr>
            </w:pPr>
            <w:r w:rsidRPr="00C1693B">
              <w:rPr>
                <w:rFonts w:cs="Times New Roman"/>
              </w:rPr>
              <w:t>Gas Naturale</w:t>
            </w:r>
          </w:p>
        </w:tc>
        <w:tc>
          <w:tcPr>
            <w:tcW w:w="1595" w:type="dxa"/>
          </w:tcPr>
          <w:p w:rsidR="00E522B8" w:rsidRPr="00C1693B" w:rsidRDefault="00F30876" w:rsidP="00E440A7">
            <w:pPr>
              <w:rPr>
                <w:rFonts w:cs="Times New Roman"/>
              </w:rPr>
            </w:pPr>
            <w:r w:rsidRPr="00C1693B">
              <w:rPr>
                <w:rFonts w:cs="Times New Roman"/>
              </w:rPr>
              <w:t>10</w:t>
            </w:r>
          </w:p>
        </w:tc>
        <w:tc>
          <w:tcPr>
            <w:tcW w:w="1805" w:type="dxa"/>
          </w:tcPr>
          <w:p w:rsidR="00E522B8" w:rsidRPr="00C1693B" w:rsidRDefault="00F30876" w:rsidP="00E440A7">
            <w:pPr>
              <w:rPr>
                <w:rFonts w:cs="Times New Roman"/>
              </w:rPr>
            </w:pPr>
            <w:r w:rsidRPr="00C1693B">
              <w:rPr>
                <w:rFonts w:cs="Times New Roman"/>
              </w:rPr>
              <w:t>1972-81</w:t>
            </w:r>
          </w:p>
        </w:tc>
      </w:tr>
      <w:tr w:rsidR="009610FC" w:rsidRPr="00C1693B">
        <w:trPr>
          <w:trHeight w:val="387"/>
        </w:trPr>
        <w:tc>
          <w:tcPr>
            <w:tcW w:w="1634" w:type="dxa"/>
          </w:tcPr>
          <w:p w:rsidR="00E522B8" w:rsidRPr="00C1693B" w:rsidRDefault="009610FC" w:rsidP="00E440A7">
            <w:pPr>
              <w:rPr>
                <w:rFonts w:cs="Times New Roman"/>
              </w:rPr>
            </w:pPr>
            <w:r w:rsidRPr="00C1693B">
              <w:rPr>
                <w:rFonts w:cs="Times New Roman"/>
              </w:rPr>
              <w:t>Tashkent</w:t>
            </w:r>
          </w:p>
        </w:tc>
        <w:tc>
          <w:tcPr>
            <w:tcW w:w="1601" w:type="dxa"/>
          </w:tcPr>
          <w:p w:rsidR="00E522B8" w:rsidRPr="00C1693B" w:rsidRDefault="009610FC" w:rsidP="00E440A7">
            <w:pPr>
              <w:rPr>
                <w:rFonts w:cs="Times New Roman"/>
              </w:rPr>
            </w:pPr>
            <w:r w:rsidRPr="00C1693B">
              <w:rPr>
                <w:rFonts w:cs="Times New Roman"/>
              </w:rPr>
              <w:t>1860MW</w:t>
            </w:r>
          </w:p>
        </w:tc>
        <w:tc>
          <w:tcPr>
            <w:tcW w:w="1837" w:type="dxa"/>
          </w:tcPr>
          <w:p w:rsidR="00E522B8" w:rsidRPr="00C1693B" w:rsidRDefault="00F30876" w:rsidP="00E440A7">
            <w:pPr>
              <w:rPr>
                <w:rFonts w:cs="Times New Roman"/>
              </w:rPr>
            </w:pPr>
            <w:r w:rsidRPr="00C1693B">
              <w:rPr>
                <w:rFonts w:cs="Times New Roman"/>
              </w:rPr>
              <w:t>Gas Naturale</w:t>
            </w:r>
          </w:p>
        </w:tc>
        <w:tc>
          <w:tcPr>
            <w:tcW w:w="1595" w:type="dxa"/>
          </w:tcPr>
          <w:p w:rsidR="00E522B8" w:rsidRPr="00C1693B" w:rsidRDefault="00F30876" w:rsidP="00E440A7">
            <w:pPr>
              <w:rPr>
                <w:rFonts w:cs="Times New Roman"/>
              </w:rPr>
            </w:pPr>
            <w:r w:rsidRPr="00C1693B">
              <w:rPr>
                <w:rFonts w:cs="Times New Roman"/>
              </w:rPr>
              <w:t>12</w:t>
            </w:r>
          </w:p>
        </w:tc>
        <w:tc>
          <w:tcPr>
            <w:tcW w:w="1805" w:type="dxa"/>
          </w:tcPr>
          <w:p w:rsidR="00E522B8" w:rsidRPr="00C1693B" w:rsidRDefault="00F30876" w:rsidP="00E440A7">
            <w:pPr>
              <w:rPr>
                <w:rFonts w:cs="Times New Roman"/>
              </w:rPr>
            </w:pPr>
            <w:r w:rsidRPr="00C1693B">
              <w:rPr>
                <w:rFonts w:cs="Times New Roman"/>
              </w:rPr>
              <w:t>1963-71</w:t>
            </w:r>
          </w:p>
        </w:tc>
      </w:tr>
      <w:tr w:rsidR="009610FC" w:rsidRPr="00C1693B">
        <w:trPr>
          <w:trHeight w:val="374"/>
        </w:trPr>
        <w:tc>
          <w:tcPr>
            <w:tcW w:w="1634" w:type="dxa"/>
          </w:tcPr>
          <w:p w:rsidR="00E522B8" w:rsidRPr="00C1693B" w:rsidRDefault="009610FC" w:rsidP="00E440A7">
            <w:pPr>
              <w:rPr>
                <w:rFonts w:cs="Times New Roman"/>
              </w:rPr>
            </w:pPr>
            <w:r w:rsidRPr="00C1693B">
              <w:rPr>
                <w:rFonts w:cs="Times New Roman"/>
              </w:rPr>
              <w:t>Navoi</w:t>
            </w:r>
          </w:p>
        </w:tc>
        <w:tc>
          <w:tcPr>
            <w:tcW w:w="1601" w:type="dxa"/>
          </w:tcPr>
          <w:p w:rsidR="00E522B8" w:rsidRPr="00C1693B" w:rsidRDefault="009610FC" w:rsidP="00E440A7">
            <w:pPr>
              <w:rPr>
                <w:rFonts w:cs="Times New Roman"/>
              </w:rPr>
            </w:pPr>
            <w:r w:rsidRPr="00C1693B">
              <w:rPr>
                <w:rFonts w:cs="Times New Roman"/>
              </w:rPr>
              <w:t>1250MW</w:t>
            </w:r>
          </w:p>
        </w:tc>
        <w:tc>
          <w:tcPr>
            <w:tcW w:w="1837" w:type="dxa"/>
          </w:tcPr>
          <w:p w:rsidR="00E522B8" w:rsidRPr="00C1693B" w:rsidRDefault="00F30876" w:rsidP="00E440A7">
            <w:pPr>
              <w:rPr>
                <w:rFonts w:cs="Times New Roman"/>
              </w:rPr>
            </w:pPr>
            <w:r w:rsidRPr="00C1693B">
              <w:rPr>
                <w:rFonts w:cs="Times New Roman"/>
              </w:rPr>
              <w:t>Gas Naturale</w:t>
            </w:r>
          </w:p>
        </w:tc>
        <w:tc>
          <w:tcPr>
            <w:tcW w:w="1595" w:type="dxa"/>
          </w:tcPr>
          <w:p w:rsidR="00E522B8" w:rsidRPr="00C1693B" w:rsidRDefault="00F30876" w:rsidP="00E440A7">
            <w:pPr>
              <w:rPr>
                <w:rFonts w:cs="Times New Roman"/>
              </w:rPr>
            </w:pPr>
            <w:r w:rsidRPr="00C1693B">
              <w:rPr>
                <w:rFonts w:cs="Times New Roman"/>
              </w:rPr>
              <w:t>11</w:t>
            </w:r>
          </w:p>
        </w:tc>
        <w:tc>
          <w:tcPr>
            <w:tcW w:w="1805" w:type="dxa"/>
          </w:tcPr>
          <w:p w:rsidR="00E522B8" w:rsidRPr="00C1693B" w:rsidRDefault="00F30876" w:rsidP="00E440A7">
            <w:pPr>
              <w:rPr>
                <w:rFonts w:cs="Times New Roman"/>
              </w:rPr>
            </w:pPr>
            <w:r w:rsidRPr="00C1693B">
              <w:rPr>
                <w:rFonts w:cs="Times New Roman"/>
              </w:rPr>
              <w:t>1963-81</w:t>
            </w:r>
          </w:p>
        </w:tc>
      </w:tr>
      <w:tr w:rsidR="009610FC" w:rsidRPr="00C1693B">
        <w:trPr>
          <w:trHeight w:val="387"/>
        </w:trPr>
        <w:tc>
          <w:tcPr>
            <w:tcW w:w="1634" w:type="dxa"/>
          </w:tcPr>
          <w:p w:rsidR="00E522B8" w:rsidRPr="00C1693B" w:rsidRDefault="009610FC" w:rsidP="00E440A7">
            <w:pPr>
              <w:rPr>
                <w:rFonts w:cs="Times New Roman"/>
              </w:rPr>
            </w:pPr>
            <w:r w:rsidRPr="00C1693B">
              <w:rPr>
                <w:rFonts w:cs="Times New Roman"/>
              </w:rPr>
              <w:t>Talimardjan</w:t>
            </w:r>
          </w:p>
        </w:tc>
        <w:tc>
          <w:tcPr>
            <w:tcW w:w="1601" w:type="dxa"/>
          </w:tcPr>
          <w:p w:rsidR="00E522B8" w:rsidRPr="00C1693B" w:rsidRDefault="009610FC" w:rsidP="00E440A7">
            <w:pPr>
              <w:rPr>
                <w:rFonts w:cs="Times New Roman"/>
              </w:rPr>
            </w:pPr>
            <w:r w:rsidRPr="00C1693B">
              <w:rPr>
                <w:rFonts w:cs="Times New Roman"/>
              </w:rPr>
              <w:t>800MW</w:t>
            </w:r>
          </w:p>
        </w:tc>
        <w:tc>
          <w:tcPr>
            <w:tcW w:w="1837" w:type="dxa"/>
          </w:tcPr>
          <w:p w:rsidR="00E522B8" w:rsidRPr="00C1693B" w:rsidRDefault="00F30876" w:rsidP="00E440A7">
            <w:pPr>
              <w:rPr>
                <w:rFonts w:cs="Times New Roman"/>
              </w:rPr>
            </w:pPr>
            <w:r w:rsidRPr="00C1693B">
              <w:rPr>
                <w:rFonts w:cs="Times New Roman"/>
              </w:rPr>
              <w:t>Gas Naturale</w:t>
            </w:r>
          </w:p>
        </w:tc>
        <w:tc>
          <w:tcPr>
            <w:tcW w:w="1595" w:type="dxa"/>
          </w:tcPr>
          <w:p w:rsidR="00E522B8" w:rsidRPr="00C1693B" w:rsidRDefault="00F30876" w:rsidP="00E440A7">
            <w:pPr>
              <w:rPr>
                <w:rFonts w:cs="Times New Roman"/>
              </w:rPr>
            </w:pPr>
            <w:r w:rsidRPr="00C1693B">
              <w:rPr>
                <w:rFonts w:cs="Times New Roman"/>
              </w:rPr>
              <w:t>1</w:t>
            </w:r>
          </w:p>
        </w:tc>
        <w:tc>
          <w:tcPr>
            <w:tcW w:w="1805" w:type="dxa"/>
          </w:tcPr>
          <w:p w:rsidR="00E522B8" w:rsidRPr="00C1693B" w:rsidRDefault="00F30876" w:rsidP="00E440A7">
            <w:pPr>
              <w:rPr>
                <w:rFonts w:cs="Times New Roman"/>
              </w:rPr>
            </w:pPr>
            <w:r w:rsidRPr="00C1693B">
              <w:rPr>
                <w:rFonts w:cs="Times New Roman"/>
              </w:rPr>
              <w:t>2004</w:t>
            </w:r>
          </w:p>
        </w:tc>
      </w:tr>
      <w:tr w:rsidR="009610FC" w:rsidRPr="00C1693B">
        <w:trPr>
          <w:trHeight w:val="374"/>
        </w:trPr>
        <w:tc>
          <w:tcPr>
            <w:tcW w:w="1634" w:type="dxa"/>
          </w:tcPr>
          <w:p w:rsidR="00E522B8" w:rsidRPr="00C1693B" w:rsidRDefault="009610FC" w:rsidP="00E440A7">
            <w:pPr>
              <w:rPr>
                <w:rFonts w:cs="Times New Roman"/>
              </w:rPr>
            </w:pPr>
            <w:r w:rsidRPr="00C1693B">
              <w:rPr>
                <w:rFonts w:cs="Times New Roman"/>
              </w:rPr>
              <w:t>Novo Angren</w:t>
            </w:r>
          </w:p>
        </w:tc>
        <w:tc>
          <w:tcPr>
            <w:tcW w:w="1601" w:type="dxa"/>
          </w:tcPr>
          <w:p w:rsidR="00E522B8" w:rsidRPr="00C1693B" w:rsidRDefault="009610FC" w:rsidP="00E440A7">
            <w:pPr>
              <w:rPr>
                <w:rFonts w:cs="Times New Roman"/>
              </w:rPr>
            </w:pPr>
            <w:r w:rsidRPr="00C1693B">
              <w:rPr>
                <w:rFonts w:cs="Times New Roman"/>
              </w:rPr>
              <w:t>2010MW</w:t>
            </w:r>
          </w:p>
        </w:tc>
        <w:tc>
          <w:tcPr>
            <w:tcW w:w="1837" w:type="dxa"/>
          </w:tcPr>
          <w:p w:rsidR="00E522B8" w:rsidRPr="00C1693B" w:rsidRDefault="00F30876" w:rsidP="00E440A7">
            <w:pPr>
              <w:rPr>
                <w:rFonts w:cs="Times New Roman"/>
              </w:rPr>
            </w:pPr>
            <w:r w:rsidRPr="00C1693B">
              <w:rPr>
                <w:rFonts w:cs="Times New Roman"/>
              </w:rPr>
              <w:t>Carbone</w:t>
            </w:r>
          </w:p>
        </w:tc>
        <w:tc>
          <w:tcPr>
            <w:tcW w:w="1595" w:type="dxa"/>
          </w:tcPr>
          <w:p w:rsidR="00E522B8" w:rsidRPr="00C1693B" w:rsidRDefault="00F30876" w:rsidP="00E440A7">
            <w:pPr>
              <w:rPr>
                <w:rFonts w:cs="Times New Roman"/>
              </w:rPr>
            </w:pPr>
            <w:r w:rsidRPr="00C1693B">
              <w:rPr>
                <w:rFonts w:cs="Times New Roman"/>
              </w:rPr>
              <w:t>7</w:t>
            </w:r>
          </w:p>
        </w:tc>
        <w:tc>
          <w:tcPr>
            <w:tcW w:w="1805" w:type="dxa"/>
          </w:tcPr>
          <w:p w:rsidR="00E522B8" w:rsidRPr="00C1693B" w:rsidRDefault="00F30876" w:rsidP="00E440A7">
            <w:pPr>
              <w:rPr>
                <w:rFonts w:cs="Times New Roman"/>
              </w:rPr>
            </w:pPr>
            <w:r w:rsidRPr="00C1693B">
              <w:rPr>
                <w:rFonts w:cs="Times New Roman"/>
              </w:rPr>
              <w:t>1985-95</w:t>
            </w:r>
          </w:p>
        </w:tc>
      </w:tr>
    </w:tbl>
    <w:p w:rsidR="00EF40F6" w:rsidRPr="00C1693B" w:rsidRDefault="00EF40F6" w:rsidP="00E440A7">
      <w:pPr>
        <w:rPr>
          <w:rFonts w:cs="Times New Roman"/>
          <w:b/>
        </w:rPr>
      </w:pPr>
    </w:p>
    <w:p w:rsidR="000C46DD" w:rsidRPr="00C1693B" w:rsidRDefault="00EF40F6" w:rsidP="00E440A7">
      <w:pPr>
        <w:rPr>
          <w:rFonts w:cs="Times New Roman"/>
        </w:rPr>
      </w:pPr>
      <w:r w:rsidRPr="00C1693B">
        <w:rPr>
          <w:rFonts w:cs="Times New Roman"/>
        </w:rPr>
        <w:t>Maggiori HPP dell’Uzbekenergo</w:t>
      </w:r>
    </w:p>
    <w:tbl>
      <w:tblPr>
        <w:tblStyle w:val="Grigliatabella"/>
        <w:tblW w:w="0" w:type="auto"/>
        <w:tblLook w:val="00BF"/>
      </w:tblPr>
      <w:tblGrid>
        <w:gridCol w:w="2088"/>
        <w:gridCol w:w="2088"/>
        <w:gridCol w:w="2089"/>
        <w:gridCol w:w="2089"/>
      </w:tblGrid>
      <w:tr w:rsidR="000C46DD" w:rsidRPr="00C1693B">
        <w:tc>
          <w:tcPr>
            <w:tcW w:w="2088" w:type="dxa"/>
          </w:tcPr>
          <w:p w:rsidR="000C46DD" w:rsidRPr="00C1693B" w:rsidRDefault="000C46DD" w:rsidP="00E440A7">
            <w:pPr>
              <w:rPr>
                <w:rFonts w:cs="Times New Roman"/>
              </w:rPr>
            </w:pPr>
            <w:r w:rsidRPr="00C1693B">
              <w:rPr>
                <w:rFonts w:cs="Times New Roman"/>
              </w:rPr>
              <w:t>IMPIANTO</w:t>
            </w:r>
          </w:p>
        </w:tc>
        <w:tc>
          <w:tcPr>
            <w:tcW w:w="2088" w:type="dxa"/>
          </w:tcPr>
          <w:p w:rsidR="000C46DD" w:rsidRPr="00C1693B" w:rsidRDefault="000C46DD" w:rsidP="00E440A7">
            <w:pPr>
              <w:rPr>
                <w:rFonts w:cs="Times New Roman"/>
              </w:rPr>
            </w:pPr>
            <w:r w:rsidRPr="00C1693B">
              <w:rPr>
                <w:rFonts w:cs="Times New Roman"/>
              </w:rPr>
              <w:t>POTENZA</w:t>
            </w:r>
          </w:p>
        </w:tc>
        <w:tc>
          <w:tcPr>
            <w:tcW w:w="2089" w:type="dxa"/>
          </w:tcPr>
          <w:p w:rsidR="000C46DD" w:rsidRPr="00C1693B" w:rsidRDefault="000C46DD" w:rsidP="00E440A7">
            <w:pPr>
              <w:rPr>
                <w:rFonts w:cs="Times New Roman"/>
              </w:rPr>
            </w:pPr>
            <w:r w:rsidRPr="00C1693B">
              <w:rPr>
                <w:rFonts w:cs="Times New Roman"/>
              </w:rPr>
              <w:t>No. TURBINE</w:t>
            </w:r>
          </w:p>
        </w:tc>
        <w:tc>
          <w:tcPr>
            <w:tcW w:w="2089" w:type="dxa"/>
          </w:tcPr>
          <w:p w:rsidR="000C46DD" w:rsidRPr="00C1693B" w:rsidRDefault="000C46DD" w:rsidP="00E440A7">
            <w:pPr>
              <w:rPr>
                <w:rFonts w:cs="Times New Roman"/>
              </w:rPr>
            </w:pPr>
            <w:r w:rsidRPr="00C1693B">
              <w:rPr>
                <w:rFonts w:cs="Times New Roman"/>
              </w:rPr>
              <w:t>COSTRUZIONE</w:t>
            </w:r>
          </w:p>
        </w:tc>
      </w:tr>
      <w:tr w:rsidR="000C46DD" w:rsidRPr="00C1693B">
        <w:tc>
          <w:tcPr>
            <w:tcW w:w="2088" w:type="dxa"/>
          </w:tcPr>
          <w:p w:rsidR="000C46DD" w:rsidRPr="00C1693B" w:rsidRDefault="000C46DD" w:rsidP="00E440A7">
            <w:pPr>
              <w:rPr>
                <w:rFonts w:cs="Times New Roman"/>
              </w:rPr>
            </w:pPr>
            <w:r w:rsidRPr="00C1693B">
              <w:rPr>
                <w:rFonts w:cs="Times New Roman"/>
              </w:rPr>
              <w:t>Charvak</w:t>
            </w:r>
          </w:p>
        </w:tc>
        <w:tc>
          <w:tcPr>
            <w:tcW w:w="2088" w:type="dxa"/>
          </w:tcPr>
          <w:p w:rsidR="000C46DD" w:rsidRPr="00C1693B" w:rsidRDefault="000C46DD" w:rsidP="00E440A7">
            <w:pPr>
              <w:rPr>
                <w:rFonts w:cs="Times New Roman"/>
              </w:rPr>
            </w:pPr>
            <w:r w:rsidRPr="00C1693B">
              <w:rPr>
                <w:rFonts w:cs="Times New Roman"/>
              </w:rPr>
              <w:t>620,5MW</w:t>
            </w:r>
          </w:p>
        </w:tc>
        <w:tc>
          <w:tcPr>
            <w:tcW w:w="2089" w:type="dxa"/>
          </w:tcPr>
          <w:p w:rsidR="000C46DD" w:rsidRPr="00C1693B" w:rsidRDefault="006035C5" w:rsidP="00E440A7">
            <w:pPr>
              <w:rPr>
                <w:rFonts w:cs="Times New Roman"/>
              </w:rPr>
            </w:pPr>
            <w:r w:rsidRPr="00C1693B">
              <w:rPr>
                <w:rFonts w:cs="Times New Roman"/>
              </w:rPr>
              <w:t>4</w:t>
            </w:r>
          </w:p>
        </w:tc>
        <w:tc>
          <w:tcPr>
            <w:tcW w:w="2089" w:type="dxa"/>
          </w:tcPr>
          <w:p w:rsidR="000C46DD" w:rsidRPr="00C1693B" w:rsidRDefault="006035C5" w:rsidP="00E440A7">
            <w:pPr>
              <w:rPr>
                <w:rFonts w:cs="Times New Roman"/>
              </w:rPr>
            </w:pPr>
            <w:r w:rsidRPr="00C1693B">
              <w:rPr>
                <w:rFonts w:cs="Times New Roman"/>
              </w:rPr>
              <w:t>1970-72</w:t>
            </w:r>
          </w:p>
        </w:tc>
      </w:tr>
      <w:tr w:rsidR="000C46DD" w:rsidRPr="00C1693B">
        <w:tc>
          <w:tcPr>
            <w:tcW w:w="2088" w:type="dxa"/>
          </w:tcPr>
          <w:p w:rsidR="000C46DD" w:rsidRPr="00C1693B" w:rsidRDefault="000C46DD" w:rsidP="00E440A7">
            <w:pPr>
              <w:rPr>
                <w:rFonts w:cs="Times New Roman"/>
              </w:rPr>
            </w:pPr>
            <w:r w:rsidRPr="00C1693B">
              <w:rPr>
                <w:rFonts w:cs="Times New Roman"/>
              </w:rPr>
              <w:t>Khodjikent</w:t>
            </w:r>
          </w:p>
        </w:tc>
        <w:tc>
          <w:tcPr>
            <w:tcW w:w="2088" w:type="dxa"/>
          </w:tcPr>
          <w:p w:rsidR="000C46DD" w:rsidRPr="00C1693B" w:rsidRDefault="000C46DD" w:rsidP="00E440A7">
            <w:pPr>
              <w:rPr>
                <w:rFonts w:cs="Times New Roman"/>
              </w:rPr>
            </w:pPr>
            <w:r w:rsidRPr="00C1693B">
              <w:rPr>
                <w:rFonts w:cs="Times New Roman"/>
              </w:rPr>
              <w:t>165MW</w:t>
            </w:r>
          </w:p>
        </w:tc>
        <w:tc>
          <w:tcPr>
            <w:tcW w:w="2089" w:type="dxa"/>
          </w:tcPr>
          <w:p w:rsidR="000C46DD" w:rsidRPr="00C1693B" w:rsidRDefault="006035C5" w:rsidP="00E440A7">
            <w:pPr>
              <w:rPr>
                <w:rFonts w:cs="Times New Roman"/>
              </w:rPr>
            </w:pPr>
            <w:r w:rsidRPr="00C1693B">
              <w:rPr>
                <w:rFonts w:cs="Times New Roman"/>
              </w:rPr>
              <w:t>3</w:t>
            </w:r>
          </w:p>
        </w:tc>
        <w:tc>
          <w:tcPr>
            <w:tcW w:w="2089" w:type="dxa"/>
          </w:tcPr>
          <w:p w:rsidR="000C46DD" w:rsidRPr="00C1693B" w:rsidRDefault="006035C5" w:rsidP="00E440A7">
            <w:pPr>
              <w:rPr>
                <w:rFonts w:cs="Times New Roman"/>
              </w:rPr>
            </w:pPr>
            <w:r w:rsidRPr="00C1693B">
              <w:rPr>
                <w:rFonts w:cs="Times New Roman"/>
              </w:rPr>
              <w:t>1976</w:t>
            </w:r>
          </w:p>
        </w:tc>
      </w:tr>
      <w:tr w:rsidR="000C46DD" w:rsidRPr="00C1693B">
        <w:tc>
          <w:tcPr>
            <w:tcW w:w="2088" w:type="dxa"/>
          </w:tcPr>
          <w:p w:rsidR="000C46DD" w:rsidRPr="00C1693B" w:rsidRDefault="000C46DD" w:rsidP="00E440A7">
            <w:pPr>
              <w:rPr>
                <w:rFonts w:cs="Times New Roman"/>
              </w:rPr>
            </w:pPr>
            <w:r w:rsidRPr="00C1693B">
              <w:rPr>
                <w:rFonts w:cs="Times New Roman"/>
              </w:rPr>
              <w:t>Gazalkent</w:t>
            </w:r>
          </w:p>
        </w:tc>
        <w:tc>
          <w:tcPr>
            <w:tcW w:w="2088" w:type="dxa"/>
          </w:tcPr>
          <w:p w:rsidR="000C46DD" w:rsidRPr="00C1693B" w:rsidRDefault="000C46DD" w:rsidP="00E440A7">
            <w:pPr>
              <w:rPr>
                <w:rFonts w:cs="Times New Roman"/>
              </w:rPr>
            </w:pPr>
            <w:r w:rsidRPr="00C1693B">
              <w:rPr>
                <w:rFonts w:cs="Times New Roman"/>
              </w:rPr>
              <w:t>120MW</w:t>
            </w:r>
          </w:p>
        </w:tc>
        <w:tc>
          <w:tcPr>
            <w:tcW w:w="2089" w:type="dxa"/>
          </w:tcPr>
          <w:p w:rsidR="000C46DD" w:rsidRPr="00C1693B" w:rsidRDefault="006035C5" w:rsidP="00E440A7">
            <w:pPr>
              <w:rPr>
                <w:rFonts w:cs="Times New Roman"/>
              </w:rPr>
            </w:pPr>
            <w:r w:rsidRPr="00C1693B">
              <w:rPr>
                <w:rFonts w:cs="Times New Roman"/>
              </w:rPr>
              <w:t>3</w:t>
            </w:r>
          </w:p>
        </w:tc>
        <w:tc>
          <w:tcPr>
            <w:tcW w:w="2089" w:type="dxa"/>
          </w:tcPr>
          <w:p w:rsidR="000C46DD" w:rsidRPr="00C1693B" w:rsidRDefault="006035C5" w:rsidP="00E440A7">
            <w:pPr>
              <w:rPr>
                <w:rFonts w:cs="Times New Roman"/>
              </w:rPr>
            </w:pPr>
            <w:r w:rsidRPr="00C1693B">
              <w:rPr>
                <w:rFonts w:cs="Times New Roman"/>
              </w:rPr>
              <w:t>1980-81</w:t>
            </w:r>
          </w:p>
        </w:tc>
      </w:tr>
    </w:tbl>
    <w:p w:rsidR="00EF40F6" w:rsidRPr="00C1693B" w:rsidRDefault="00EF40F6" w:rsidP="00E440A7">
      <w:pPr>
        <w:rPr>
          <w:rFonts w:cs="Times New Roman"/>
        </w:rPr>
      </w:pPr>
    </w:p>
    <w:p w:rsidR="00845152" w:rsidRPr="00C1693B" w:rsidRDefault="00EF40F6" w:rsidP="00E440A7">
      <w:pPr>
        <w:rPr>
          <w:rFonts w:cs="Times New Roman"/>
        </w:rPr>
      </w:pPr>
      <w:r w:rsidRPr="00C1693B">
        <w:rPr>
          <w:rFonts w:cs="Times New Roman"/>
        </w:rPr>
        <w:t xml:space="preserve">Nel 2009 la produzione lorda di energia elettrica in Uzbekistan è stata di 49.900 GWh, </w:t>
      </w:r>
      <w:r w:rsidR="007204C7" w:rsidRPr="00C1693B">
        <w:rPr>
          <w:rFonts w:cs="Times New Roman"/>
        </w:rPr>
        <w:t xml:space="preserve">seconda nella </w:t>
      </w:r>
      <w:r w:rsidR="00342AE4" w:rsidRPr="00C1693B">
        <w:rPr>
          <w:rFonts w:cs="Times New Roman"/>
        </w:rPr>
        <w:t>R</w:t>
      </w:r>
      <w:r w:rsidR="007204C7" w:rsidRPr="00C1693B">
        <w:rPr>
          <w:rFonts w:cs="Times New Roman"/>
        </w:rPr>
        <w:t xml:space="preserve">egione </w:t>
      </w:r>
      <w:r w:rsidR="00342AE4" w:rsidRPr="00C1693B">
        <w:rPr>
          <w:rFonts w:cs="Times New Roman"/>
        </w:rPr>
        <w:t xml:space="preserve">centro-asiatica </w:t>
      </w:r>
      <w:r w:rsidR="007204C7" w:rsidRPr="00C1693B">
        <w:rPr>
          <w:rFonts w:cs="Times New Roman"/>
        </w:rPr>
        <w:t xml:space="preserve">solo a quella del Kazakistan. </w:t>
      </w:r>
      <w:r w:rsidR="00845152" w:rsidRPr="00C1693B">
        <w:rPr>
          <w:rFonts w:cs="Times New Roman"/>
        </w:rPr>
        <w:t>Di questo ammontare il 75% è stato ottenuto d</w:t>
      </w:r>
      <w:r w:rsidR="00A65227" w:rsidRPr="00C1693B">
        <w:rPr>
          <w:rFonts w:cs="Times New Roman"/>
        </w:rPr>
        <w:t>a</w:t>
      </w:r>
      <w:r w:rsidR="00845152" w:rsidRPr="00C1693B">
        <w:rPr>
          <w:rFonts w:cs="Times New Roman"/>
        </w:rPr>
        <w:t xml:space="preserve">lla combustione del metano. L’alta percentuale del gas naturale nella produzione di energia elettrica ha spinto il </w:t>
      </w:r>
      <w:r w:rsidR="00E440A7" w:rsidRPr="00C1693B">
        <w:rPr>
          <w:rFonts w:cs="Times New Roman"/>
        </w:rPr>
        <w:t>P</w:t>
      </w:r>
      <w:r w:rsidR="00845152" w:rsidRPr="00C1693B">
        <w:rPr>
          <w:rFonts w:cs="Times New Roman"/>
        </w:rPr>
        <w:t>aese a considerare investimenti al fine di sostituirlo con altri combustibili, come</w:t>
      </w:r>
      <w:r w:rsidR="005C5A4F" w:rsidRPr="00C1693B">
        <w:rPr>
          <w:rFonts w:cs="Times New Roman"/>
        </w:rPr>
        <w:t>,</w:t>
      </w:r>
      <w:r w:rsidR="00845152" w:rsidRPr="00C1693B">
        <w:rPr>
          <w:rFonts w:cs="Times New Roman"/>
        </w:rPr>
        <w:t xml:space="preserve"> per esempio</w:t>
      </w:r>
      <w:r w:rsidR="005C5A4F" w:rsidRPr="00C1693B">
        <w:rPr>
          <w:rFonts w:cs="Times New Roman"/>
        </w:rPr>
        <w:t>,</w:t>
      </w:r>
      <w:r w:rsidR="00845152" w:rsidRPr="00C1693B">
        <w:rPr>
          <w:rFonts w:cs="Times New Roman"/>
        </w:rPr>
        <w:t xml:space="preserve"> il carbone.</w:t>
      </w:r>
    </w:p>
    <w:p w:rsidR="00022FFC" w:rsidRPr="00C1693B" w:rsidRDefault="00A44901" w:rsidP="00E440A7">
      <w:pPr>
        <w:rPr>
          <w:rFonts w:cs="Times New Roman"/>
        </w:rPr>
      </w:pPr>
      <w:r w:rsidRPr="00C1693B">
        <w:rPr>
          <w:rFonts w:cs="Times New Roman"/>
          <w:noProof/>
          <w:lang w:eastAsia="it-IT"/>
        </w:rPr>
        <w:drawing>
          <wp:inline distT="0" distB="0" distL="0" distR="0">
            <wp:extent cx="4545965" cy="2259542"/>
            <wp:effectExtent l="25400" t="25400" r="635" b="1058"/>
            <wp:docPr id="19" name="G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599E" w:rsidRPr="00C1693B" w:rsidRDefault="00342AE4" w:rsidP="00E440A7">
      <w:pPr>
        <w:rPr>
          <w:rFonts w:cs="Times New Roman"/>
        </w:rPr>
      </w:pPr>
      <w:r w:rsidRPr="00C1693B">
        <w:rPr>
          <w:rFonts w:cs="Times New Roman"/>
        </w:rPr>
        <w:t>Fonte</w:t>
      </w:r>
      <w:r w:rsidR="005B599E" w:rsidRPr="00C1693B">
        <w:rPr>
          <w:rFonts w:cs="Times New Roman"/>
        </w:rPr>
        <w:t>: IEA/statistiche/Uzbekistan/2009</w:t>
      </w:r>
    </w:p>
    <w:p w:rsidR="005B599E" w:rsidRPr="00C1693B" w:rsidRDefault="005B599E" w:rsidP="00E440A7">
      <w:pPr>
        <w:rPr>
          <w:rFonts w:cs="Times New Roman"/>
        </w:rPr>
      </w:pPr>
    </w:p>
    <w:p w:rsidR="005B599E" w:rsidRPr="00C1693B" w:rsidRDefault="00342AE4" w:rsidP="00E440A7">
      <w:pPr>
        <w:rPr>
          <w:rFonts w:cs="Times New Roman"/>
        </w:rPr>
      </w:pPr>
      <w:r w:rsidRPr="00C1693B">
        <w:rPr>
          <w:rFonts w:cs="Times New Roman"/>
        </w:rPr>
        <w:t xml:space="preserve">Il </w:t>
      </w:r>
      <w:r w:rsidR="005B599E" w:rsidRPr="00C1693B">
        <w:rPr>
          <w:rFonts w:cs="Times New Roman"/>
        </w:rPr>
        <w:t>sistema d</w:t>
      </w:r>
      <w:r w:rsidR="00870419" w:rsidRPr="00C1693B">
        <w:rPr>
          <w:rFonts w:cs="Times New Roman"/>
        </w:rPr>
        <w:t>i produzione ele</w:t>
      </w:r>
      <w:r w:rsidR="003F3E72" w:rsidRPr="00C1693B">
        <w:rPr>
          <w:rFonts w:cs="Times New Roman"/>
        </w:rPr>
        <w:t>ttrica</w:t>
      </w:r>
      <w:r w:rsidR="005B599E" w:rsidRPr="00C1693B">
        <w:rPr>
          <w:rFonts w:cs="Times New Roman"/>
        </w:rPr>
        <w:t xml:space="preserve"> </w:t>
      </w:r>
      <w:r w:rsidRPr="00C1693B">
        <w:rPr>
          <w:rFonts w:cs="Times New Roman"/>
        </w:rPr>
        <w:t>non è pero’ sostenuto dal</w:t>
      </w:r>
      <w:r w:rsidR="005B599E" w:rsidRPr="00C1693B">
        <w:rPr>
          <w:rFonts w:cs="Times New Roman"/>
        </w:rPr>
        <w:t>le infrastrutture</w:t>
      </w:r>
      <w:r w:rsidRPr="00C1693B">
        <w:rPr>
          <w:rFonts w:cs="Times New Roman"/>
        </w:rPr>
        <w:t>, ancora insufficienti</w:t>
      </w:r>
      <w:r w:rsidR="002564F9" w:rsidRPr="00C1693B">
        <w:rPr>
          <w:rFonts w:cs="Times New Roman"/>
        </w:rPr>
        <w:t xml:space="preserve">, e </w:t>
      </w:r>
      <w:r w:rsidRPr="00C1693B">
        <w:rPr>
          <w:rFonts w:cs="Times New Roman"/>
        </w:rPr>
        <w:t xml:space="preserve">dalla rete che denota una generale </w:t>
      </w:r>
      <w:r w:rsidR="005B599E" w:rsidRPr="00C1693B">
        <w:rPr>
          <w:rFonts w:cs="Times New Roman"/>
        </w:rPr>
        <w:t>arretratezza</w:t>
      </w:r>
      <w:r w:rsidRPr="00C1693B">
        <w:rPr>
          <w:rFonts w:cs="Times New Roman"/>
        </w:rPr>
        <w:t xml:space="preserve">. </w:t>
      </w:r>
      <w:r w:rsidR="005B599E" w:rsidRPr="00C1693B">
        <w:rPr>
          <w:rFonts w:cs="Times New Roman"/>
        </w:rPr>
        <w:t>Molto indicativa in questo senso è l’alta percentuale di perdite e il basso li</w:t>
      </w:r>
      <w:r w:rsidR="004C0CAF" w:rsidRPr="00C1693B">
        <w:rPr>
          <w:rFonts w:cs="Times New Roman"/>
        </w:rPr>
        <w:t>vello di efficienza dell’industri</w:t>
      </w:r>
      <w:r w:rsidR="005D0AFF" w:rsidRPr="00C1693B">
        <w:rPr>
          <w:rFonts w:cs="Times New Roman"/>
        </w:rPr>
        <w:t>a</w:t>
      </w:r>
      <w:r w:rsidR="005B599E" w:rsidRPr="00C1693B">
        <w:rPr>
          <w:rFonts w:cs="Times New Roman"/>
        </w:rPr>
        <w:t>: l’offerta netta di energia è solo l’83% dell’intera produzione</w:t>
      </w:r>
      <w:r w:rsidR="005763D7" w:rsidRPr="00C1693B">
        <w:rPr>
          <w:rFonts w:cs="Times New Roman"/>
        </w:rPr>
        <w:t xml:space="preserve"> dedicata al mercato domestico</w:t>
      </w:r>
      <w:r w:rsidR="002564F9" w:rsidRPr="00C1693B">
        <w:rPr>
          <w:rFonts w:cs="Times New Roman"/>
        </w:rPr>
        <w:t>; c</w:t>
      </w:r>
      <w:r w:rsidR="00F80FBA" w:rsidRPr="00C1693B">
        <w:rPr>
          <w:rFonts w:cs="Times New Roman"/>
        </w:rPr>
        <w:t xml:space="preserve">iò risiede non solo nella </w:t>
      </w:r>
      <w:r w:rsidR="002564F9" w:rsidRPr="00C1693B">
        <w:rPr>
          <w:rFonts w:cs="Times New Roman"/>
        </w:rPr>
        <w:t>mancanza</w:t>
      </w:r>
      <w:r w:rsidR="00F80FBA" w:rsidRPr="00C1693B">
        <w:rPr>
          <w:rFonts w:cs="Times New Roman"/>
        </w:rPr>
        <w:t xml:space="preserve"> infrastrutturale, ma anche in una </w:t>
      </w:r>
      <w:r w:rsidR="00E440A7" w:rsidRPr="00C1693B">
        <w:rPr>
          <w:rFonts w:cs="Times New Roman"/>
        </w:rPr>
        <w:t xml:space="preserve">non ottimale </w:t>
      </w:r>
      <w:r w:rsidR="004C0CAF" w:rsidRPr="00C1693B">
        <w:rPr>
          <w:rFonts w:cs="Times New Roman"/>
        </w:rPr>
        <w:t>gestione</w:t>
      </w:r>
      <w:r w:rsidR="00F80FBA" w:rsidRPr="00C1693B">
        <w:rPr>
          <w:rFonts w:cs="Times New Roman"/>
        </w:rPr>
        <w:t xml:space="preserve"> della politica fiscale e delle tariffe dell’energia. I tentativi di alzare il livello dei prezzi in modo più realistico</w:t>
      </w:r>
      <w:r w:rsidR="002564F9" w:rsidRPr="00C1693B">
        <w:rPr>
          <w:rFonts w:cs="Times New Roman"/>
        </w:rPr>
        <w:t>,</w:t>
      </w:r>
      <w:r w:rsidR="00F80FBA" w:rsidRPr="00C1693B">
        <w:rPr>
          <w:rFonts w:cs="Times New Roman"/>
        </w:rPr>
        <w:t xml:space="preserve"> hanno incontrato la resistenza della popolazione, che ha reagito non pagand</w:t>
      </w:r>
      <w:r w:rsidR="005F7886" w:rsidRPr="00C1693B">
        <w:rPr>
          <w:rFonts w:cs="Times New Roman"/>
        </w:rPr>
        <w:t xml:space="preserve">o le bollette. Inoltre il </w:t>
      </w:r>
      <w:r w:rsidR="00004756" w:rsidRPr="00C1693B">
        <w:rPr>
          <w:rFonts w:cs="Times New Roman"/>
        </w:rPr>
        <w:t>G</w:t>
      </w:r>
      <w:r w:rsidR="005F7886" w:rsidRPr="00C1693B">
        <w:rPr>
          <w:rFonts w:cs="Times New Roman"/>
        </w:rPr>
        <w:t>overno peggiora le cose attraverso una polit</w:t>
      </w:r>
      <w:r w:rsidR="00523D91" w:rsidRPr="00C1693B">
        <w:rPr>
          <w:rFonts w:cs="Times New Roman"/>
        </w:rPr>
        <w:t xml:space="preserve">ica </w:t>
      </w:r>
      <w:r w:rsidR="003F3E72" w:rsidRPr="00C1693B">
        <w:rPr>
          <w:rFonts w:cs="Times New Roman"/>
        </w:rPr>
        <w:t>d’</w:t>
      </w:r>
      <w:r w:rsidR="00523D91" w:rsidRPr="00C1693B">
        <w:rPr>
          <w:rFonts w:cs="Times New Roman"/>
        </w:rPr>
        <w:t>interruzione delle forniture</w:t>
      </w:r>
      <w:r w:rsidR="005F7886" w:rsidRPr="00C1693B">
        <w:rPr>
          <w:rFonts w:cs="Times New Roman"/>
        </w:rPr>
        <w:t>, che irrispettosa dello stato dei pagamenti degli utenti, non alimenta certo un circolo virtuoso.</w:t>
      </w:r>
      <w:r w:rsidR="00870419" w:rsidRPr="00C1693B">
        <w:rPr>
          <w:rFonts w:cs="Times New Roman"/>
        </w:rPr>
        <w:t xml:space="preserve"> Durante lo scorso inverno, la sola città di Tashkent</w:t>
      </w:r>
      <w:r w:rsidR="00435A67" w:rsidRPr="00C1693B">
        <w:rPr>
          <w:rFonts w:cs="Times New Roman"/>
        </w:rPr>
        <w:t xml:space="preserve"> (e non tutte le zone)</w:t>
      </w:r>
      <w:r w:rsidR="00004756" w:rsidRPr="00C1693B">
        <w:rPr>
          <w:rFonts w:cs="Times New Roman"/>
        </w:rPr>
        <w:t>,</w:t>
      </w:r>
      <w:r w:rsidR="00870419" w:rsidRPr="00C1693B">
        <w:rPr>
          <w:rFonts w:cs="Times New Roman"/>
        </w:rPr>
        <w:t xml:space="preserve"> ha avuto la fornitura di gas per il riscaldamento, il resto del </w:t>
      </w:r>
      <w:r w:rsidR="00004756" w:rsidRPr="00C1693B">
        <w:rPr>
          <w:rFonts w:cs="Times New Roman"/>
        </w:rPr>
        <w:t>P</w:t>
      </w:r>
      <w:r w:rsidR="00870419" w:rsidRPr="00C1693B">
        <w:rPr>
          <w:rFonts w:cs="Times New Roman"/>
        </w:rPr>
        <w:t>aese ha subito tagli basati sull’assunto che la popolazione non pagava le bollette. Se è pur vero che gli allacciamenti abusivi alla rete sono comuni, bisogna anche considerare ch</w:t>
      </w:r>
      <w:r w:rsidR="005C5A4F" w:rsidRPr="00C1693B">
        <w:rPr>
          <w:rFonts w:cs="Times New Roman"/>
        </w:rPr>
        <w:t xml:space="preserve">e la morosità degli utenti </w:t>
      </w:r>
      <w:r w:rsidR="00004756" w:rsidRPr="00C1693B">
        <w:rPr>
          <w:rFonts w:cs="Times New Roman"/>
        </w:rPr>
        <w:t xml:space="preserve">non e’ sufficiente per </w:t>
      </w:r>
      <w:r w:rsidR="00870419" w:rsidRPr="00C1693B">
        <w:rPr>
          <w:rFonts w:cs="Times New Roman"/>
        </w:rPr>
        <w:t>giustificare l’interruzione delle forniture, e che</w:t>
      </w:r>
      <w:r w:rsidR="005C5A4F" w:rsidRPr="00C1693B">
        <w:rPr>
          <w:rFonts w:cs="Times New Roman"/>
        </w:rPr>
        <w:t>,</w:t>
      </w:r>
      <w:r w:rsidR="00870419" w:rsidRPr="00C1693B">
        <w:rPr>
          <w:rFonts w:cs="Times New Roman"/>
        </w:rPr>
        <w:t xml:space="preserve"> probabilmente</w:t>
      </w:r>
      <w:r w:rsidR="005C5A4F" w:rsidRPr="00C1693B">
        <w:rPr>
          <w:rFonts w:cs="Times New Roman"/>
        </w:rPr>
        <w:t>,</w:t>
      </w:r>
      <w:r w:rsidR="00870419" w:rsidRPr="00C1693B">
        <w:rPr>
          <w:rFonts w:cs="Times New Roman"/>
        </w:rPr>
        <w:t xml:space="preserve"> il </w:t>
      </w:r>
      <w:r w:rsidR="00004756" w:rsidRPr="00C1693B">
        <w:rPr>
          <w:rFonts w:cs="Times New Roman"/>
        </w:rPr>
        <w:t>G</w:t>
      </w:r>
      <w:r w:rsidR="00870419" w:rsidRPr="00C1693B">
        <w:rPr>
          <w:rFonts w:cs="Times New Roman"/>
        </w:rPr>
        <w:t>overno abbia voluto privilegiare mercati più redditizi rispetto a quello inte</w:t>
      </w:r>
      <w:r w:rsidR="00435A67" w:rsidRPr="00C1693B">
        <w:rPr>
          <w:rFonts w:cs="Times New Roman"/>
        </w:rPr>
        <w:t>rno per vendere il proprio gas.</w:t>
      </w:r>
    </w:p>
    <w:p w:rsidR="00DD5324" w:rsidRPr="00C1693B" w:rsidRDefault="00A65227" w:rsidP="00E440A7">
      <w:pPr>
        <w:rPr>
          <w:rFonts w:cs="Times New Roman"/>
        </w:rPr>
      </w:pPr>
      <w:r w:rsidRPr="00C1693B">
        <w:rPr>
          <w:rFonts w:cs="Times New Roman"/>
          <w:noProof/>
          <w:lang w:eastAsia="it-IT"/>
        </w:rPr>
        <w:drawing>
          <wp:inline distT="0" distB="0" distL="0" distR="0">
            <wp:extent cx="5235575" cy="2184400"/>
            <wp:effectExtent l="25400" t="25400" r="22225" b="0"/>
            <wp:docPr id="21" name="G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5324" w:rsidRPr="00C1693B" w:rsidRDefault="00DD5324" w:rsidP="00E440A7">
      <w:pPr>
        <w:rPr>
          <w:rFonts w:cs="Times New Roman"/>
        </w:rPr>
      </w:pPr>
      <w:r w:rsidRPr="00C1693B">
        <w:rPr>
          <w:rFonts w:cs="Times New Roman"/>
        </w:rPr>
        <w:t>fonte: IEA/statistiche/Uzbekistan/2009</w:t>
      </w:r>
    </w:p>
    <w:p w:rsidR="005B599E" w:rsidRPr="00C1693B" w:rsidRDefault="005B599E" w:rsidP="00E440A7">
      <w:pPr>
        <w:rPr>
          <w:rFonts w:cs="Times New Roman"/>
        </w:rPr>
      </w:pPr>
    </w:p>
    <w:p w:rsidR="008058F3" w:rsidRPr="00C1693B" w:rsidRDefault="004C0CAF" w:rsidP="00E440A7">
      <w:pPr>
        <w:rPr>
          <w:rFonts w:cs="Times New Roman"/>
        </w:rPr>
      </w:pPr>
      <w:r w:rsidRPr="00C1693B">
        <w:rPr>
          <w:rFonts w:cs="Times New Roman"/>
        </w:rPr>
        <w:t xml:space="preserve">La rete elettrica uzbeka è situata al centro </w:t>
      </w:r>
      <w:r w:rsidR="00004756" w:rsidRPr="00C1693B">
        <w:rPr>
          <w:rFonts w:cs="Times New Roman"/>
        </w:rPr>
        <w:t>dell’ “</w:t>
      </w:r>
      <w:r w:rsidRPr="00C1693B">
        <w:rPr>
          <w:rFonts w:cs="Times New Roman"/>
        </w:rPr>
        <w:t>United Central Asia Power System</w:t>
      </w:r>
      <w:r w:rsidR="00004756" w:rsidRPr="00C1693B">
        <w:rPr>
          <w:rFonts w:cs="Times New Roman"/>
        </w:rPr>
        <w:t>”</w:t>
      </w:r>
      <w:r w:rsidRPr="00C1693B">
        <w:rPr>
          <w:rFonts w:cs="Times New Roman"/>
        </w:rPr>
        <w:t xml:space="preserve"> (CAPS), che comprende le reti domestiche di Kazakista</w:t>
      </w:r>
      <w:r w:rsidR="00623B50" w:rsidRPr="00C1693B">
        <w:rPr>
          <w:rFonts w:cs="Times New Roman"/>
        </w:rPr>
        <w:t>n</w:t>
      </w:r>
      <w:r w:rsidRPr="00C1693B">
        <w:rPr>
          <w:rFonts w:cs="Times New Roman"/>
        </w:rPr>
        <w:t xml:space="preserve">, Uzbekistan, Tagikistan, </w:t>
      </w:r>
      <w:r w:rsidR="00354ED4" w:rsidRPr="00C1693B">
        <w:rPr>
          <w:rFonts w:cs="Times New Roman"/>
        </w:rPr>
        <w:t>e Kirghizistan (la rete Turkmena</w:t>
      </w:r>
      <w:r w:rsidRPr="00C1693B">
        <w:rPr>
          <w:rFonts w:cs="Times New Roman"/>
        </w:rPr>
        <w:t>, che ha fatto parte del CAPS</w:t>
      </w:r>
      <w:r w:rsidR="00FC5951" w:rsidRPr="00C1693B">
        <w:rPr>
          <w:rFonts w:cs="Times New Roman"/>
        </w:rPr>
        <w:t>, attualmente lavora insieme alla rete elettrica iraniana.)</w:t>
      </w:r>
      <w:r w:rsidR="00354ED4" w:rsidRPr="00C1693B">
        <w:rPr>
          <w:rFonts w:cs="Times New Roman"/>
        </w:rPr>
        <w:t xml:space="preserve">. La CAPS inoltre lavora in parallelo con la rete russa, cui è unita da linee dell’alta tensione che collegano il Kazakistan meridionale al Kazakistan settentrionale. L’estensione della rete ammonta </w:t>
      </w:r>
      <w:r w:rsidR="00004756" w:rsidRPr="00C1693B">
        <w:rPr>
          <w:rFonts w:cs="Times New Roman"/>
        </w:rPr>
        <w:t>a</w:t>
      </w:r>
      <w:r w:rsidR="00354ED4" w:rsidRPr="00C1693B">
        <w:rPr>
          <w:rFonts w:cs="Times New Roman"/>
        </w:rPr>
        <w:t xml:space="preserve"> oltre </w:t>
      </w:r>
      <w:r w:rsidR="00004756" w:rsidRPr="00C1693B">
        <w:rPr>
          <w:rFonts w:cs="Times New Roman"/>
        </w:rPr>
        <w:t>230,000</w:t>
      </w:r>
      <w:r w:rsidR="00354ED4" w:rsidRPr="00C1693B">
        <w:rPr>
          <w:rFonts w:cs="Times New Roman"/>
        </w:rPr>
        <w:t xml:space="preserve"> km di linee ed è </w:t>
      </w:r>
      <w:r w:rsidR="00004756" w:rsidRPr="00C1693B">
        <w:rPr>
          <w:rFonts w:cs="Times New Roman"/>
        </w:rPr>
        <w:t>connesso</w:t>
      </w:r>
      <w:r w:rsidR="00354ED4" w:rsidRPr="00C1693B">
        <w:rPr>
          <w:rFonts w:cs="Times New Roman"/>
        </w:rPr>
        <w:t xml:space="preserve"> ai </w:t>
      </w:r>
      <w:r w:rsidR="00004756" w:rsidRPr="00C1693B">
        <w:rPr>
          <w:rFonts w:cs="Times New Roman"/>
        </w:rPr>
        <w:t>P</w:t>
      </w:r>
      <w:r w:rsidR="00354ED4" w:rsidRPr="00C1693B">
        <w:rPr>
          <w:rFonts w:cs="Times New Roman"/>
        </w:rPr>
        <w:t xml:space="preserve">aesi vicini principalmente da cavi da </w:t>
      </w:r>
      <w:r w:rsidR="008058F3" w:rsidRPr="00C1693B">
        <w:rPr>
          <w:rFonts w:cs="Times New Roman"/>
        </w:rPr>
        <w:t>500/220 kV.</w:t>
      </w:r>
    </w:p>
    <w:p w:rsidR="008058F3" w:rsidRPr="00C1693B" w:rsidRDefault="008058F3" w:rsidP="00E440A7">
      <w:pPr>
        <w:rPr>
          <w:rFonts w:cs="Times New Roman"/>
        </w:rPr>
      </w:pPr>
    </w:p>
    <w:p w:rsidR="00354ED4" w:rsidRPr="00C1693B" w:rsidRDefault="008058F3" w:rsidP="00E440A7">
      <w:pPr>
        <w:rPr>
          <w:rFonts w:cs="Times New Roman"/>
          <w:b/>
        </w:rPr>
      </w:pPr>
      <w:r w:rsidRPr="00C1693B">
        <w:rPr>
          <w:rFonts w:cs="Times New Roman"/>
          <w:b/>
        </w:rPr>
        <w:t>Struttura della linea elettrica di proprietà dell’Uzbekenergo</w:t>
      </w:r>
    </w:p>
    <w:p w:rsidR="004C0CAF" w:rsidRPr="00C1693B" w:rsidRDefault="00354ED4" w:rsidP="00E440A7">
      <w:pPr>
        <w:rPr>
          <w:rFonts w:cs="Times New Roman"/>
        </w:rPr>
      </w:pPr>
      <w:r w:rsidRPr="00C1693B">
        <w:rPr>
          <w:rFonts w:cs="Times New Roman"/>
          <w:noProof/>
          <w:lang w:eastAsia="it-IT"/>
        </w:rPr>
        <w:drawing>
          <wp:inline distT="0" distB="0" distL="0" distR="0">
            <wp:extent cx="4737100" cy="2124075"/>
            <wp:effectExtent l="25400" t="0" r="0" b="0"/>
            <wp:docPr id="25" name="Immagine 23" descr="u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2.gif"/>
                    <pic:cNvPicPr/>
                  </pic:nvPicPr>
                  <pic:blipFill>
                    <a:blip r:embed="rId10"/>
                    <a:stretch>
                      <a:fillRect/>
                    </a:stretch>
                  </pic:blipFill>
                  <pic:spPr>
                    <a:xfrm>
                      <a:off x="0" y="0"/>
                      <a:ext cx="4737100" cy="2124075"/>
                    </a:xfrm>
                    <a:prstGeom prst="rect">
                      <a:avLst/>
                    </a:prstGeom>
                  </pic:spPr>
                </pic:pic>
              </a:graphicData>
            </a:graphic>
          </wp:inline>
        </w:drawing>
      </w:r>
    </w:p>
    <w:p w:rsidR="00084B8F" w:rsidRPr="00C1693B" w:rsidRDefault="00084B8F" w:rsidP="00E440A7">
      <w:pPr>
        <w:rPr>
          <w:rFonts w:cs="Times New Roman"/>
        </w:rPr>
      </w:pPr>
    </w:p>
    <w:p w:rsidR="00A213C8" w:rsidRPr="00C1693B" w:rsidRDefault="00B64258" w:rsidP="00E440A7">
      <w:pPr>
        <w:rPr>
          <w:rFonts w:cs="Times New Roman"/>
        </w:rPr>
      </w:pPr>
      <w:r w:rsidRPr="00C1693B">
        <w:rPr>
          <w:rFonts w:cs="Times New Roman"/>
        </w:rPr>
        <w:t xml:space="preserve">Per quello che riguarda il consumo, possiamo notare come il settore industriale, e quello agricolo </w:t>
      </w:r>
      <w:r w:rsidR="005D0AFF" w:rsidRPr="00C1693B">
        <w:rPr>
          <w:rFonts w:cs="Times New Roman"/>
        </w:rPr>
        <w:t>provveda</w:t>
      </w:r>
      <w:r w:rsidR="00A65227" w:rsidRPr="00C1693B">
        <w:rPr>
          <w:rFonts w:cs="Times New Roman"/>
        </w:rPr>
        <w:t>no</w:t>
      </w:r>
      <w:r w:rsidRPr="00C1693B">
        <w:rPr>
          <w:rFonts w:cs="Times New Roman"/>
        </w:rPr>
        <w:t xml:space="preserve"> congiuntamente al 71% della domanda interna di elettricità, mentre il residenziale </w:t>
      </w:r>
      <w:r w:rsidR="00A44901" w:rsidRPr="00C1693B">
        <w:rPr>
          <w:rFonts w:cs="Times New Roman"/>
        </w:rPr>
        <w:t>ammonta al 18%.</w:t>
      </w:r>
      <w:r w:rsidR="009712FA" w:rsidRPr="00C1693B">
        <w:rPr>
          <w:rFonts w:cs="Times New Roman"/>
        </w:rPr>
        <w:t xml:space="preserve"> L’alta percentuale rappresentata dall’industria (38%) si fonda</w:t>
      </w:r>
      <w:r w:rsidR="005D0AFF" w:rsidRPr="00C1693B">
        <w:rPr>
          <w:rFonts w:cs="Times New Roman"/>
        </w:rPr>
        <w:t>,</w:t>
      </w:r>
      <w:r w:rsidR="009712FA" w:rsidRPr="00C1693B">
        <w:rPr>
          <w:rFonts w:cs="Times New Roman"/>
        </w:rPr>
        <w:t xml:space="preserve"> </w:t>
      </w:r>
      <w:r w:rsidR="005D0AFF" w:rsidRPr="00C1693B">
        <w:rPr>
          <w:rFonts w:cs="Times New Roman"/>
        </w:rPr>
        <w:t>piuttosto</w:t>
      </w:r>
      <w:r w:rsidR="009712FA" w:rsidRPr="00C1693B">
        <w:rPr>
          <w:rFonts w:cs="Times New Roman"/>
        </w:rPr>
        <w:t xml:space="preserve"> che su un reale peso del settore nell’economia nazionale, su una cattiva gestione dell’energia e quindi dall’inefficienza del risparmio energetico.</w:t>
      </w:r>
    </w:p>
    <w:p w:rsidR="00A213C8" w:rsidRPr="00C1693B" w:rsidRDefault="009712FA" w:rsidP="00E440A7">
      <w:pPr>
        <w:rPr>
          <w:rFonts w:cs="Times New Roman"/>
        </w:rPr>
      </w:pPr>
      <w:r w:rsidRPr="00C1693B">
        <w:rPr>
          <w:rFonts w:cs="Times New Roman"/>
          <w:noProof/>
          <w:lang w:eastAsia="it-IT"/>
        </w:rPr>
        <w:drawing>
          <wp:inline distT="0" distB="0" distL="0" distR="0">
            <wp:extent cx="5215890" cy="2598208"/>
            <wp:effectExtent l="25400" t="25400" r="16510" b="0"/>
            <wp:docPr id="2" name="G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12FA" w:rsidRPr="00C1693B" w:rsidRDefault="009712FA" w:rsidP="00E440A7">
      <w:pPr>
        <w:rPr>
          <w:rFonts w:cs="Times New Roman"/>
        </w:rPr>
      </w:pPr>
    </w:p>
    <w:p w:rsidR="00EE53B7" w:rsidRPr="00C1693B" w:rsidRDefault="00004756" w:rsidP="00E440A7">
      <w:pPr>
        <w:rPr>
          <w:rFonts w:cs="Times New Roman"/>
        </w:rPr>
      </w:pPr>
      <w:r w:rsidRPr="00C1693B">
        <w:rPr>
          <w:rFonts w:cs="Times New Roman"/>
        </w:rPr>
        <w:t xml:space="preserve">Lo stato nonm ottimale </w:t>
      </w:r>
      <w:r w:rsidR="00A213C8" w:rsidRPr="00C1693B">
        <w:rPr>
          <w:rFonts w:cs="Times New Roman"/>
        </w:rPr>
        <w:t>de</w:t>
      </w:r>
      <w:r w:rsidR="009712FA" w:rsidRPr="00C1693B">
        <w:rPr>
          <w:rFonts w:cs="Times New Roman"/>
        </w:rPr>
        <w:t>ll’intero sistema elettrico</w:t>
      </w:r>
      <w:r w:rsidR="00A213C8" w:rsidRPr="00C1693B">
        <w:rPr>
          <w:rFonts w:cs="Times New Roman"/>
        </w:rPr>
        <w:t xml:space="preserve"> ha imp</w:t>
      </w:r>
      <w:r w:rsidR="005D0AFF" w:rsidRPr="00C1693B">
        <w:rPr>
          <w:rFonts w:cs="Times New Roman"/>
        </w:rPr>
        <w:t xml:space="preserve">osto al </w:t>
      </w:r>
      <w:r w:rsidRPr="00C1693B">
        <w:rPr>
          <w:rFonts w:cs="Times New Roman"/>
        </w:rPr>
        <w:t>G</w:t>
      </w:r>
      <w:r w:rsidR="005D0AFF" w:rsidRPr="00C1693B">
        <w:rPr>
          <w:rFonts w:cs="Times New Roman"/>
        </w:rPr>
        <w:t xml:space="preserve">overno di prevedere un </w:t>
      </w:r>
      <w:r w:rsidR="00A213C8" w:rsidRPr="00C1693B">
        <w:rPr>
          <w:rFonts w:cs="Times New Roman"/>
        </w:rPr>
        <w:t>ingente programma d’inve</w:t>
      </w:r>
      <w:r w:rsidR="004D04BF" w:rsidRPr="00C1693B">
        <w:rPr>
          <w:rFonts w:cs="Times New Roman"/>
        </w:rPr>
        <w:t>s</w:t>
      </w:r>
      <w:r w:rsidR="00A213C8" w:rsidRPr="00C1693B">
        <w:rPr>
          <w:rFonts w:cs="Times New Roman"/>
        </w:rPr>
        <w:t xml:space="preserve">timenti atti a modernizzare, ampliare e migliorare </w:t>
      </w:r>
      <w:r w:rsidR="00576940" w:rsidRPr="00C1693B">
        <w:rPr>
          <w:rFonts w:cs="Times New Roman"/>
        </w:rPr>
        <w:t>l’</w:t>
      </w:r>
      <w:r w:rsidR="006F7A69" w:rsidRPr="00C1693B">
        <w:rPr>
          <w:rFonts w:cs="Times New Roman"/>
        </w:rPr>
        <w:t xml:space="preserve">intera filiera dell’elettricità.  Il </w:t>
      </w:r>
      <w:r w:rsidR="006F7A69" w:rsidRPr="00C1693B">
        <w:rPr>
          <w:rFonts w:cs="Times New Roman"/>
          <w:i/>
        </w:rPr>
        <w:t>piano di ricostruzione e sviluppo della capacità di produzione energetica 2000-2010</w:t>
      </w:r>
      <w:r w:rsidR="00A86B58" w:rsidRPr="00C1693B">
        <w:rPr>
          <w:rFonts w:cs="Times New Roman"/>
          <w:i/>
        </w:rPr>
        <w:t xml:space="preserve"> </w:t>
      </w:r>
      <w:r w:rsidR="005C70DE" w:rsidRPr="00C1693B">
        <w:rPr>
          <w:rFonts w:cs="Times New Roman"/>
        </w:rPr>
        <w:t xml:space="preserve">ha avuto come </w:t>
      </w:r>
      <w:r w:rsidRPr="00C1693B">
        <w:rPr>
          <w:rFonts w:cs="Times New Roman"/>
        </w:rPr>
        <w:t>obiettivi</w:t>
      </w:r>
      <w:r w:rsidR="00A86B58" w:rsidRPr="00C1693B">
        <w:rPr>
          <w:rFonts w:cs="Times New Roman"/>
        </w:rPr>
        <w:t xml:space="preserve"> quelli di modernizzare l’intera rete elettrica, di </w:t>
      </w:r>
      <w:r w:rsidRPr="00C1693B">
        <w:rPr>
          <w:rFonts w:cs="Times New Roman"/>
        </w:rPr>
        <w:t xml:space="preserve">economizzare sul </w:t>
      </w:r>
      <w:r w:rsidR="00A86B58" w:rsidRPr="00C1693B">
        <w:rPr>
          <w:rFonts w:cs="Times New Roman"/>
        </w:rPr>
        <w:t>combustibile, di aumentare la potenza istallate delle centrali e di aggiornare le tecnologie. I risultati sono stati: un risparmio di 540 milioni di m</w:t>
      </w:r>
      <w:r w:rsidR="00A86B58" w:rsidRPr="00C1693B">
        <w:rPr>
          <w:rFonts w:cs="Times New Roman"/>
          <w:vertAlign w:val="superscript"/>
        </w:rPr>
        <w:t>3</w:t>
      </w:r>
      <w:r w:rsidR="00A86B58" w:rsidRPr="00C1693B">
        <w:rPr>
          <w:rFonts w:cs="Times New Roman"/>
        </w:rPr>
        <w:t xml:space="preserve"> di gas e l’aumento della potenza istallata di 905 MW. Nella cornice di questo programma sono, infatti, state realizzate la centrale monoturbina di Talimardjan e altre unità nelle preesistenti centrali di Tashkent, Navoi e Mubarek. </w:t>
      </w:r>
      <w:r w:rsidR="005C70DE" w:rsidRPr="00C1693B">
        <w:rPr>
          <w:rFonts w:cs="Times New Roman"/>
        </w:rPr>
        <w:t xml:space="preserve">Dopo l’implementazione di suddetto piano, altri progetti sono </w:t>
      </w:r>
      <w:r w:rsidR="00526BB8" w:rsidRPr="00C1693B">
        <w:rPr>
          <w:rFonts w:cs="Times New Roman"/>
        </w:rPr>
        <w:t>in questo momento</w:t>
      </w:r>
      <w:r w:rsidR="005C70DE" w:rsidRPr="00C1693B">
        <w:rPr>
          <w:rFonts w:cs="Times New Roman"/>
        </w:rPr>
        <w:t xml:space="preserve"> in corso:</w:t>
      </w:r>
    </w:p>
    <w:p w:rsidR="00576940" w:rsidRPr="00C1693B" w:rsidRDefault="00576940" w:rsidP="00E440A7">
      <w:pPr>
        <w:rPr>
          <w:rFonts w:cs="Times New Roman"/>
        </w:rPr>
      </w:pPr>
    </w:p>
    <w:p w:rsidR="000461BA" w:rsidRPr="00C1693B" w:rsidRDefault="000461BA" w:rsidP="00E440A7">
      <w:pPr>
        <w:pStyle w:val="Paragrafoelenco"/>
        <w:numPr>
          <w:ilvl w:val="0"/>
          <w:numId w:val="9"/>
        </w:numPr>
        <w:rPr>
          <w:rFonts w:cs="Times New Roman"/>
        </w:rPr>
      </w:pPr>
      <w:r w:rsidRPr="00C1693B">
        <w:rPr>
          <w:rFonts w:cs="Times New Roman"/>
        </w:rPr>
        <w:t xml:space="preserve">L’istallazione di una turbina a ciclo combinato che aumenti la potenza istallata della centrale termoelettrica di Tashkent di 370 MW. Per questo progetto nel 2002 </w:t>
      </w:r>
      <w:r w:rsidR="00366C2D" w:rsidRPr="00C1693B">
        <w:rPr>
          <w:rFonts w:cs="Times New Roman"/>
        </w:rPr>
        <w:t>lo</w:t>
      </w:r>
      <w:r w:rsidRPr="00C1693B">
        <w:rPr>
          <w:rFonts w:cs="Times New Roman"/>
        </w:rPr>
        <w:t xml:space="preserve"> Japan Bank for International Cooperation ha stanziato un prestito trentennale da 221 milioni di dollari.</w:t>
      </w:r>
    </w:p>
    <w:p w:rsidR="000B3A0D" w:rsidRPr="00C1693B" w:rsidRDefault="000B3A0D" w:rsidP="00E440A7">
      <w:pPr>
        <w:pStyle w:val="Paragrafoelenco"/>
        <w:numPr>
          <w:ilvl w:val="0"/>
          <w:numId w:val="9"/>
        </w:numPr>
        <w:rPr>
          <w:rFonts w:cs="Times New Roman"/>
        </w:rPr>
      </w:pPr>
      <w:r w:rsidRPr="00C1693B">
        <w:rPr>
          <w:rFonts w:cs="Times New Roman"/>
        </w:rPr>
        <w:t>Ammodernamento della centrale di Navoi, per un costo previsto di 232 milioni di dol</w:t>
      </w:r>
      <w:r w:rsidR="00F05EE5" w:rsidRPr="00C1693B">
        <w:rPr>
          <w:rFonts w:cs="Times New Roman"/>
        </w:rPr>
        <w:t>l</w:t>
      </w:r>
      <w:r w:rsidRPr="00C1693B">
        <w:rPr>
          <w:rFonts w:cs="Times New Roman"/>
        </w:rPr>
        <w:t>ari, che includa la costruzione di una nuova unità da 346MW.</w:t>
      </w:r>
    </w:p>
    <w:p w:rsidR="00CD56CB" w:rsidRPr="00C1693B" w:rsidRDefault="005C70DE" w:rsidP="00E440A7">
      <w:pPr>
        <w:pStyle w:val="Paragrafoelenco"/>
        <w:numPr>
          <w:ilvl w:val="0"/>
          <w:numId w:val="9"/>
        </w:numPr>
        <w:rPr>
          <w:rFonts w:cs="Times New Roman"/>
        </w:rPr>
      </w:pPr>
      <w:r w:rsidRPr="00C1693B">
        <w:rPr>
          <w:rFonts w:cs="Times New Roman"/>
        </w:rPr>
        <w:t>Il miglioramento dell’intera rete di trasmissione, con un fianziamento previsto di 25 milioni di dollari da parte della banca islamica di sviluppo.</w:t>
      </w:r>
    </w:p>
    <w:p w:rsidR="00CD56CB" w:rsidRPr="00C1693B" w:rsidRDefault="005C5A4F" w:rsidP="00E440A7">
      <w:pPr>
        <w:pStyle w:val="Paragrafoelenco"/>
        <w:numPr>
          <w:ilvl w:val="0"/>
          <w:numId w:val="9"/>
        </w:numPr>
        <w:rPr>
          <w:rFonts w:cs="Times New Roman"/>
        </w:rPr>
      </w:pPr>
      <w:r w:rsidRPr="00C1693B">
        <w:rPr>
          <w:rFonts w:cs="Times New Roman"/>
        </w:rPr>
        <w:t>La c</w:t>
      </w:r>
      <w:r w:rsidR="00CD56CB" w:rsidRPr="00C1693B">
        <w:rPr>
          <w:rFonts w:cs="Times New Roman"/>
        </w:rPr>
        <w:t>ostruzione di un generatore di corrente per supplire alla domanda energia dei residenti del centro di Tashkent.</w:t>
      </w:r>
    </w:p>
    <w:p w:rsidR="00D63482" w:rsidRPr="00C1693B" w:rsidRDefault="00CD56CB" w:rsidP="00E440A7">
      <w:pPr>
        <w:pStyle w:val="Paragrafoelenco"/>
        <w:numPr>
          <w:ilvl w:val="0"/>
          <w:numId w:val="9"/>
        </w:numPr>
        <w:rPr>
          <w:rFonts w:cs="Times New Roman"/>
        </w:rPr>
      </w:pPr>
      <w:r w:rsidRPr="00C1693B">
        <w:rPr>
          <w:rFonts w:cs="Times New Roman"/>
        </w:rPr>
        <w:t xml:space="preserve">Riconvertire interamente al carbone le </w:t>
      </w:r>
      <w:r w:rsidR="00366C2D" w:rsidRPr="00C1693B">
        <w:rPr>
          <w:rFonts w:cs="Times New Roman"/>
        </w:rPr>
        <w:t>sette</w:t>
      </w:r>
      <w:r w:rsidRPr="00C1693B">
        <w:rPr>
          <w:rFonts w:cs="Times New Roman"/>
        </w:rPr>
        <w:t xml:space="preserve"> unità </w:t>
      </w:r>
      <w:r w:rsidR="00C65F18" w:rsidRPr="00C1693B">
        <w:rPr>
          <w:rFonts w:cs="Times New Roman"/>
        </w:rPr>
        <w:t>operanti nella centrale di Novo-</w:t>
      </w:r>
      <w:r w:rsidRPr="00C1693B">
        <w:rPr>
          <w:rFonts w:cs="Times New Roman"/>
        </w:rPr>
        <w:t xml:space="preserve">Angren, che </w:t>
      </w:r>
      <w:r w:rsidR="00366C2D" w:rsidRPr="00C1693B">
        <w:rPr>
          <w:rFonts w:cs="Times New Roman"/>
        </w:rPr>
        <w:t>in questo momento</w:t>
      </w:r>
      <w:r w:rsidRPr="00C1693B">
        <w:rPr>
          <w:rFonts w:cs="Times New Roman"/>
        </w:rPr>
        <w:t xml:space="preserve"> sfruttano combustibili misti (mazut, carbone, gas)</w:t>
      </w:r>
    </w:p>
    <w:p w:rsidR="00D63482" w:rsidRPr="00C1693B" w:rsidRDefault="00D63482" w:rsidP="00E440A7">
      <w:pPr>
        <w:rPr>
          <w:rFonts w:cs="Times New Roman"/>
        </w:rPr>
      </w:pPr>
    </w:p>
    <w:p w:rsidR="00430B5A" w:rsidRPr="00C1693B" w:rsidRDefault="00D63482" w:rsidP="00E440A7">
      <w:pPr>
        <w:rPr>
          <w:rFonts w:cs="Times New Roman"/>
        </w:rPr>
      </w:pPr>
      <w:r w:rsidRPr="00C1693B">
        <w:rPr>
          <w:rFonts w:cs="Times New Roman"/>
        </w:rPr>
        <w:t xml:space="preserve">Oltre a questi appena </w:t>
      </w:r>
      <w:r w:rsidR="00623B50" w:rsidRPr="00C1693B">
        <w:rPr>
          <w:rFonts w:cs="Times New Roman"/>
        </w:rPr>
        <w:t>menzionati,</w:t>
      </w:r>
      <w:r w:rsidR="000821C4" w:rsidRPr="00C1693B">
        <w:rPr>
          <w:rFonts w:cs="Times New Roman"/>
        </w:rPr>
        <w:t xml:space="preserve"> sono in attivo anche tre</w:t>
      </w:r>
      <w:r w:rsidRPr="00C1693B">
        <w:rPr>
          <w:rFonts w:cs="Times New Roman"/>
        </w:rPr>
        <w:t xml:space="preserve"> finanziamenti da parte della </w:t>
      </w:r>
      <w:r w:rsidR="00366C2D" w:rsidRPr="00C1693B">
        <w:rPr>
          <w:rFonts w:cs="Times New Roman"/>
        </w:rPr>
        <w:t>B</w:t>
      </w:r>
      <w:r w:rsidRPr="00C1693B">
        <w:rPr>
          <w:rFonts w:cs="Times New Roman"/>
        </w:rPr>
        <w:t xml:space="preserve">anca </w:t>
      </w:r>
      <w:r w:rsidR="00366C2D" w:rsidRPr="00C1693B">
        <w:rPr>
          <w:rFonts w:cs="Times New Roman"/>
        </w:rPr>
        <w:t>M</w:t>
      </w:r>
      <w:r w:rsidRPr="00C1693B">
        <w:rPr>
          <w:rFonts w:cs="Times New Roman"/>
        </w:rPr>
        <w:t>ondiale:</w:t>
      </w:r>
    </w:p>
    <w:p w:rsidR="00D63482" w:rsidRPr="00C1693B" w:rsidRDefault="00D63482" w:rsidP="00E440A7">
      <w:pPr>
        <w:rPr>
          <w:rFonts w:cs="Times New Roman"/>
        </w:rPr>
      </w:pPr>
    </w:p>
    <w:p w:rsidR="00421DFA" w:rsidRPr="00C1693B" w:rsidRDefault="00D63482" w:rsidP="00E440A7">
      <w:pPr>
        <w:pStyle w:val="Paragrafoelenco"/>
        <w:numPr>
          <w:ilvl w:val="0"/>
          <w:numId w:val="11"/>
        </w:numPr>
        <w:rPr>
          <w:rFonts w:cs="Times New Roman"/>
        </w:rPr>
      </w:pPr>
      <w:r w:rsidRPr="00C1693B">
        <w:rPr>
          <w:rFonts w:cs="Times New Roman"/>
        </w:rPr>
        <w:t>Il primo</w:t>
      </w:r>
      <w:r w:rsidR="00421DFA" w:rsidRPr="00C1693B">
        <w:rPr>
          <w:rFonts w:cs="Times New Roman"/>
        </w:rPr>
        <w:t>, approvato nel giugno 2010 e attivo fino al 2016,</w:t>
      </w:r>
      <w:r w:rsidRPr="00C1693B">
        <w:rPr>
          <w:rFonts w:cs="Times New Roman"/>
        </w:rPr>
        <w:t xml:space="preserve"> prevede un finanziamento di 25 milioni di dollari per aumentare l’efficienza energetica e ridurre</w:t>
      </w:r>
      <w:r w:rsidR="00421DFA" w:rsidRPr="00C1693B">
        <w:rPr>
          <w:rFonts w:cs="Times New Roman"/>
        </w:rPr>
        <w:t xml:space="preserve"> gli sprechi del settore industriale. L’</w:t>
      </w:r>
      <w:r w:rsidR="00366C2D" w:rsidRPr="00C1693B">
        <w:rPr>
          <w:rFonts w:cs="Times New Roman"/>
        </w:rPr>
        <w:t>obiettivo</w:t>
      </w:r>
      <w:r w:rsidR="00421DFA" w:rsidRPr="00C1693B">
        <w:rPr>
          <w:rFonts w:cs="Times New Roman"/>
        </w:rPr>
        <w:t xml:space="preserve"> è da perseguirsi </w:t>
      </w:r>
      <w:r w:rsidR="005C5A4F" w:rsidRPr="00C1693B">
        <w:rPr>
          <w:rFonts w:cs="Times New Roman"/>
        </w:rPr>
        <w:t>a</w:t>
      </w:r>
      <w:r w:rsidR="00421DFA" w:rsidRPr="00C1693B">
        <w:rPr>
          <w:rFonts w:cs="Times New Roman"/>
        </w:rPr>
        <w:t xml:space="preserve">ttraverso il supporto alle imprese riguardo </w:t>
      </w:r>
      <w:r w:rsidR="00366C2D" w:rsidRPr="00C1693B">
        <w:rPr>
          <w:rFonts w:cs="Times New Roman"/>
        </w:rPr>
        <w:t>al</w:t>
      </w:r>
      <w:r w:rsidR="00421DFA" w:rsidRPr="00C1693B">
        <w:rPr>
          <w:rFonts w:cs="Times New Roman"/>
        </w:rPr>
        <w:t xml:space="preserve"> project financing.</w:t>
      </w:r>
    </w:p>
    <w:p w:rsidR="000821C4" w:rsidRPr="00C1693B" w:rsidRDefault="00421DFA" w:rsidP="00E440A7">
      <w:pPr>
        <w:pStyle w:val="Paragrafoelenco"/>
        <w:numPr>
          <w:ilvl w:val="0"/>
          <w:numId w:val="11"/>
        </w:numPr>
        <w:rPr>
          <w:rFonts w:cs="Times New Roman"/>
        </w:rPr>
      </w:pPr>
      <w:r w:rsidRPr="00C1693B">
        <w:rPr>
          <w:rFonts w:cs="Times New Roman"/>
        </w:rPr>
        <w:t xml:space="preserve">Il secondo, approvato nel marzo 2012 e attivo fino al 2017, implica uno stanziamento di 180 milioni di dollari per </w:t>
      </w:r>
      <w:r w:rsidR="000821C4" w:rsidRPr="00C1693B">
        <w:rPr>
          <w:rFonts w:cs="Times New Roman"/>
        </w:rPr>
        <w:t>ridurre le perdite di elettricità nella fase di distribuzione da parte di tre controllate Uzbekenergo nell’area metropolitana di Tashkent, nell’Oblast della capitale e nella regione del Syrdarya.</w:t>
      </w:r>
      <w:r w:rsidR="00C71DAA" w:rsidRPr="00C1693B">
        <w:rPr>
          <w:rFonts w:cs="Times New Roman"/>
        </w:rPr>
        <w:t xml:space="preserve"> Questo progetto di </w:t>
      </w:r>
      <w:r w:rsidR="00C71DAA" w:rsidRPr="00C1693B">
        <w:rPr>
          <w:rFonts w:cs="Times New Roman"/>
          <w:i/>
        </w:rPr>
        <w:t>Advanced Metering Infrastructures</w:t>
      </w:r>
      <w:r w:rsidR="00C71DAA" w:rsidRPr="00C1693B">
        <w:rPr>
          <w:rFonts w:cs="Times New Roman"/>
        </w:rPr>
        <w:t xml:space="preserve"> atto a </w:t>
      </w:r>
      <w:r w:rsidR="000821C4" w:rsidRPr="00C1693B">
        <w:rPr>
          <w:rFonts w:cs="Times New Roman"/>
        </w:rPr>
        <w:t>miglior</w:t>
      </w:r>
      <w:r w:rsidR="00C71DAA" w:rsidRPr="00C1693B">
        <w:rPr>
          <w:rFonts w:cs="Times New Roman"/>
        </w:rPr>
        <w:t>are l’efficienza commerciale dell’Uzbekenergo prevede</w:t>
      </w:r>
      <w:r w:rsidR="000821C4" w:rsidRPr="00C1693B">
        <w:rPr>
          <w:rFonts w:cs="Times New Roman"/>
        </w:rPr>
        <w:t xml:space="preserve"> la dotazione di contatori </w:t>
      </w:r>
      <w:r w:rsidR="00C71DAA" w:rsidRPr="00C1693B">
        <w:rPr>
          <w:rFonts w:cs="Times New Roman"/>
        </w:rPr>
        <w:t xml:space="preserve">cosiddetti </w:t>
      </w:r>
      <w:r w:rsidR="00C71DAA" w:rsidRPr="00C1693B">
        <w:rPr>
          <w:rFonts w:cs="Times New Roman"/>
          <w:i/>
        </w:rPr>
        <w:t>intelligenti</w:t>
      </w:r>
      <w:r w:rsidR="00C71DAA" w:rsidRPr="00C1693B">
        <w:rPr>
          <w:rFonts w:cs="Times New Roman"/>
        </w:rPr>
        <w:t xml:space="preserve">, </w:t>
      </w:r>
      <w:r w:rsidR="000821C4" w:rsidRPr="00C1693B">
        <w:rPr>
          <w:rFonts w:cs="Times New Roman"/>
        </w:rPr>
        <w:t>e registratori d</w:t>
      </w:r>
      <w:r w:rsidR="00430B5A" w:rsidRPr="00C1693B">
        <w:rPr>
          <w:rFonts w:cs="Times New Roman"/>
        </w:rPr>
        <w:t>i cassa ad alta tecnologia nonché il miglioramento del managment commerciale.</w:t>
      </w:r>
      <w:r w:rsidR="00C71DAA" w:rsidRPr="00C1693B">
        <w:rPr>
          <w:rFonts w:cs="Times New Roman"/>
        </w:rPr>
        <w:t xml:space="preserve"> Oltre alla Banca Mondiale, per quanto concerne il finanziamento, si regista anche un prestito di 150 milioni di dollari da par</w:t>
      </w:r>
      <w:r w:rsidR="00F64177" w:rsidRPr="00C1693B">
        <w:rPr>
          <w:rFonts w:cs="Times New Roman"/>
        </w:rPr>
        <w:t>te della Asian Development Bank, effettivo dal 20 aprile 2012.</w:t>
      </w:r>
      <w:r w:rsidR="00435A67" w:rsidRPr="00C1693B">
        <w:rPr>
          <w:rFonts w:cs="Times New Roman"/>
        </w:rPr>
        <w:t xml:space="preserve"> Altri dati ancora non ufficiali stimano anche una partecipazione della Banca Islamica di Sviluppo, e che la cifra complessiva dei finanziamenti dei tre istituti di credito dovrebbe arrivare </w:t>
      </w:r>
      <w:r w:rsidR="00366C2D" w:rsidRPr="00C1693B">
        <w:rPr>
          <w:rFonts w:cs="Times New Roman"/>
        </w:rPr>
        <w:t>a</w:t>
      </w:r>
      <w:r w:rsidR="00435A67" w:rsidRPr="00C1693B">
        <w:rPr>
          <w:rFonts w:cs="Times New Roman"/>
        </w:rPr>
        <w:t xml:space="preserve"> un miliardo di dollari, suddiviso territorialmente.</w:t>
      </w:r>
    </w:p>
    <w:p w:rsidR="00430B5A" w:rsidRPr="00C1693B" w:rsidRDefault="00430B5A" w:rsidP="00E440A7">
      <w:pPr>
        <w:pStyle w:val="Paragrafoelenco"/>
        <w:numPr>
          <w:ilvl w:val="0"/>
          <w:numId w:val="11"/>
        </w:numPr>
        <w:rPr>
          <w:rFonts w:cs="Times New Roman"/>
        </w:rPr>
      </w:pPr>
      <w:r w:rsidRPr="00C1693B">
        <w:rPr>
          <w:rFonts w:cs="Times New Roman"/>
        </w:rPr>
        <w:t>Il terzo prevede assistenza tecnica</w:t>
      </w:r>
      <w:r w:rsidR="005C5A4F" w:rsidRPr="00C1693B">
        <w:rPr>
          <w:rFonts w:cs="Times New Roman"/>
        </w:rPr>
        <w:t xml:space="preserve"> e</w:t>
      </w:r>
      <w:r w:rsidRPr="00C1693B">
        <w:rPr>
          <w:rFonts w:cs="Times New Roman"/>
        </w:rPr>
        <w:t xml:space="preserve"> la c</w:t>
      </w:r>
      <w:r w:rsidR="000821C4" w:rsidRPr="00C1693B">
        <w:rPr>
          <w:rFonts w:cs="Times New Roman"/>
        </w:rPr>
        <w:t>ostruzione di</w:t>
      </w:r>
      <w:r w:rsidRPr="00C1693B">
        <w:rPr>
          <w:rFonts w:cs="Times New Roman"/>
        </w:rPr>
        <w:t>:</w:t>
      </w:r>
    </w:p>
    <w:p w:rsidR="00430B5A" w:rsidRPr="00C1693B" w:rsidRDefault="00430B5A" w:rsidP="00E440A7">
      <w:pPr>
        <w:pStyle w:val="Paragrafoelenco"/>
        <w:numPr>
          <w:ilvl w:val="0"/>
          <w:numId w:val="10"/>
        </w:numPr>
        <w:rPr>
          <w:rFonts w:cs="Times New Roman"/>
        </w:rPr>
      </w:pPr>
      <w:r w:rsidRPr="00C1693B">
        <w:rPr>
          <w:rFonts w:cs="Times New Roman"/>
        </w:rPr>
        <w:t>U</w:t>
      </w:r>
      <w:r w:rsidR="000821C4" w:rsidRPr="00C1693B">
        <w:rPr>
          <w:rFonts w:cs="Times New Roman"/>
        </w:rPr>
        <w:t>na linea dell’alta tensione da 500kV</w:t>
      </w:r>
      <w:r w:rsidR="005C5A4F" w:rsidRPr="00C1693B">
        <w:rPr>
          <w:rFonts w:cs="Times New Roman"/>
        </w:rPr>
        <w:t xml:space="preserve"> tra</w:t>
      </w:r>
      <w:r w:rsidR="000821C4" w:rsidRPr="00C1693B">
        <w:rPr>
          <w:rFonts w:cs="Times New Roman"/>
        </w:rPr>
        <w:t xml:space="preserve"> la centrale secondaria Sogdiana e l’impianto di Tallimardj</w:t>
      </w:r>
      <w:r w:rsidRPr="00C1693B">
        <w:rPr>
          <w:rFonts w:cs="Times New Roman"/>
        </w:rPr>
        <w:t>an</w:t>
      </w:r>
      <w:r w:rsidR="00366C2D" w:rsidRPr="00C1693B">
        <w:rPr>
          <w:rFonts w:cs="Times New Roman"/>
        </w:rPr>
        <w:t>;</w:t>
      </w:r>
    </w:p>
    <w:p w:rsidR="00F05EE5" w:rsidRPr="00C1693B" w:rsidRDefault="00F05EE5" w:rsidP="00E440A7">
      <w:pPr>
        <w:pStyle w:val="Paragrafoelenco"/>
        <w:numPr>
          <w:ilvl w:val="0"/>
          <w:numId w:val="10"/>
        </w:numPr>
        <w:rPr>
          <w:rFonts w:cs="Times New Roman"/>
        </w:rPr>
      </w:pPr>
      <w:r w:rsidRPr="00C1693B">
        <w:rPr>
          <w:rFonts w:cs="Times New Roman"/>
        </w:rPr>
        <w:t>Una linea da 500kV che unisca la centrale Sogdiana alla linea di trasmissione Karakul-Guzar</w:t>
      </w:r>
      <w:r w:rsidR="00366C2D" w:rsidRPr="00C1693B">
        <w:rPr>
          <w:rFonts w:cs="Times New Roman"/>
        </w:rPr>
        <w:t>;</w:t>
      </w:r>
    </w:p>
    <w:p w:rsidR="005B599E" w:rsidRPr="00C1693B" w:rsidRDefault="00F05EE5" w:rsidP="00E440A7">
      <w:pPr>
        <w:pStyle w:val="Paragrafoelenco"/>
        <w:numPr>
          <w:ilvl w:val="0"/>
          <w:numId w:val="10"/>
        </w:numPr>
        <w:rPr>
          <w:rFonts w:cs="Times New Roman"/>
        </w:rPr>
      </w:pPr>
      <w:r w:rsidRPr="00C1693B">
        <w:rPr>
          <w:rFonts w:cs="Times New Roman"/>
        </w:rPr>
        <w:t>Una zona di connessione nella centrale Sogdiana</w:t>
      </w:r>
      <w:r w:rsidR="009B551E" w:rsidRPr="00C1693B">
        <w:rPr>
          <w:rFonts w:cs="Times New Roman"/>
        </w:rPr>
        <w:t>.</w:t>
      </w:r>
    </w:p>
    <w:p w:rsidR="00366C2D" w:rsidRPr="00C1693B" w:rsidRDefault="00366C2D" w:rsidP="00E440A7">
      <w:pPr>
        <w:pStyle w:val="Titolo2"/>
        <w:spacing w:before="0"/>
        <w:rPr>
          <w:rFonts w:ascii="Times New Roman" w:hAnsi="Times New Roman" w:cs="Times New Roman"/>
          <w:sz w:val="24"/>
          <w:szCs w:val="24"/>
        </w:rPr>
      </w:pPr>
    </w:p>
    <w:p w:rsidR="00FE40C6" w:rsidRPr="00C1693B" w:rsidRDefault="00022FFC" w:rsidP="00E440A7">
      <w:pPr>
        <w:pStyle w:val="Titolo2"/>
        <w:spacing w:before="0"/>
        <w:rPr>
          <w:rFonts w:ascii="Times New Roman" w:hAnsi="Times New Roman" w:cs="Times New Roman"/>
          <w:sz w:val="24"/>
          <w:szCs w:val="24"/>
        </w:rPr>
      </w:pPr>
      <w:r w:rsidRPr="00C1693B">
        <w:rPr>
          <w:rFonts w:ascii="Times New Roman" w:hAnsi="Times New Roman" w:cs="Times New Roman"/>
          <w:sz w:val="24"/>
          <w:szCs w:val="24"/>
        </w:rPr>
        <w:t>Carbone</w:t>
      </w:r>
    </w:p>
    <w:p w:rsidR="007B7D58" w:rsidRPr="00C1693B" w:rsidRDefault="00FE40C6" w:rsidP="00E440A7">
      <w:pPr>
        <w:rPr>
          <w:rFonts w:cs="Times New Roman"/>
        </w:rPr>
      </w:pPr>
      <w:r w:rsidRPr="00C1693B">
        <w:rPr>
          <w:rFonts w:cs="Times New Roman"/>
        </w:rPr>
        <w:t xml:space="preserve">Le riserve </w:t>
      </w:r>
      <w:r w:rsidR="009854ED" w:rsidRPr="00C1693B">
        <w:rPr>
          <w:rFonts w:cs="Times New Roman"/>
        </w:rPr>
        <w:t xml:space="preserve">note </w:t>
      </w:r>
      <w:r w:rsidRPr="00C1693B">
        <w:rPr>
          <w:rFonts w:cs="Times New Roman"/>
        </w:rPr>
        <w:t xml:space="preserve">di carbone in Uzbekistan ammontano a 1832,8 Mt, la cui maggior parte (1786,5 Mt) è rappresentata da lignite, mentre una piccola percentuale (46,3 Mt) da litantrace </w:t>
      </w:r>
      <w:r w:rsidR="00F30C0E" w:rsidRPr="00C1693B">
        <w:rPr>
          <w:rFonts w:cs="Times New Roman"/>
        </w:rPr>
        <w:t>bi</w:t>
      </w:r>
      <w:r w:rsidR="00067DA6" w:rsidRPr="00C1693B">
        <w:rPr>
          <w:rFonts w:cs="Times New Roman"/>
        </w:rPr>
        <w:t>tuminoso. Al momento sono sfruttati tre giacimenti, Angren, Shargun e Baysun,</w:t>
      </w:r>
      <w:r w:rsidR="009854ED" w:rsidRPr="00C1693B">
        <w:rPr>
          <w:rFonts w:cs="Times New Roman"/>
        </w:rPr>
        <w:t xml:space="preserve"> ma si stima che le riserve</w:t>
      </w:r>
      <w:r w:rsidR="00A53F47" w:rsidRPr="00C1693B">
        <w:rPr>
          <w:rFonts w:cs="Times New Roman"/>
        </w:rPr>
        <w:t xml:space="preserve"> possano aumentare di cir</w:t>
      </w:r>
      <w:r w:rsidR="00067DA6" w:rsidRPr="00C1693B">
        <w:rPr>
          <w:rFonts w:cs="Times New Roman"/>
        </w:rPr>
        <w:t>c</w:t>
      </w:r>
      <w:r w:rsidR="00A53F47" w:rsidRPr="00C1693B">
        <w:rPr>
          <w:rFonts w:cs="Times New Roman"/>
        </w:rPr>
        <w:t>a</w:t>
      </w:r>
      <w:r w:rsidR="00067DA6" w:rsidRPr="00C1693B">
        <w:rPr>
          <w:rFonts w:cs="Times New Roman"/>
        </w:rPr>
        <w:t xml:space="preserve"> 300 Mt. </w:t>
      </w:r>
      <w:r w:rsidR="00F30C0E" w:rsidRPr="00C1693B">
        <w:rPr>
          <w:rFonts w:cs="Times New Roman"/>
        </w:rPr>
        <w:t xml:space="preserve"> La Produzione nel 2009 </w:t>
      </w:r>
      <w:r w:rsidR="00366C2D" w:rsidRPr="00C1693B">
        <w:rPr>
          <w:rFonts w:cs="Times New Roman"/>
        </w:rPr>
        <w:t xml:space="preserve">e’ stata di </w:t>
      </w:r>
      <w:r w:rsidR="000C73C6" w:rsidRPr="00C1693B">
        <w:rPr>
          <w:rFonts w:cs="Times New Roman"/>
        </w:rPr>
        <w:t>3</w:t>
      </w:r>
      <w:r w:rsidR="00366C2D" w:rsidRPr="00C1693B">
        <w:rPr>
          <w:rFonts w:cs="Times New Roman"/>
        </w:rPr>
        <w:t>.</w:t>
      </w:r>
      <w:r w:rsidR="000C73C6" w:rsidRPr="00C1693B">
        <w:rPr>
          <w:rFonts w:cs="Times New Roman"/>
        </w:rPr>
        <w:t>553 kt di li</w:t>
      </w:r>
      <w:r w:rsidR="00A358E1" w:rsidRPr="00C1693B">
        <w:rPr>
          <w:rFonts w:cs="Times New Roman"/>
        </w:rPr>
        <w:t xml:space="preserve">gnite e 101 kt di litantrace, </w:t>
      </w:r>
      <w:r w:rsidR="00366C2D" w:rsidRPr="00C1693B">
        <w:rPr>
          <w:rFonts w:cs="Times New Roman"/>
        </w:rPr>
        <w:t xml:space="preserve">entrambi </w:t>
      </w:r>
      <w:r w:rsidR="000C73C6" w:rsidRPr="00C1693B">
        <w:rPr>
          <w:rFonts w:cs="Times New Roman"/>
        </w:rPr>
        <w:t>principalmente imp</w:t>
      </w:r>
      <w:r w:rsidR="00A53F47" w:rsidRPr="00C1693B">
        <w:rPr>
          <w:rFonts w:cs="Times New Roman"/>
        </w:rPr>
        <w:t>iegati ne</w:t>
      </w:r>
      <w:r w:rsidR="00067DA6" w:rsidRPr="00C1693B">
        <w:rPr>
          <w:rFonts w:cs="Times New Roman"/>
        </w:rPr>
        <w:t>ll’industria energetica</w:t>
      </w:r>
      <w:r w:rsidR="000C73C6" w:rsidRPr="00C1693B">
        <w:rPr>
          <w:rFonts w:cs="Times New Roman"/>
        </w:rPr>
        <w:t xml:space="preserve"> </w:t>
      </w:r>
      <w:r w:rsidR="00067DA6" w:rsidRPr="00C1693B">
        <w:rPr>
          <w:rFonts w:cs="Times New Roman"/>
        </w:rPr>
        <w:t>per la produzione di elettricità</w:t>
      </w:r>
      <w:r w:rsidR="00DF16A5" w:rsidRPr="00C1693B">
        <w:rPr>
          <w:rFonts w:cs="Times New Roman"/>
        </w:rPr>
        <w:t xml:space="preserve"> (85%)</w:t>
      </w:r>
      <w:r w:rsidR="00067DA6" w:rsidRPr="00C1693B">
        <w:rPr>
          <w:rFonts w:cs="Times New Roman"/>
        </w:rPr>
        <w:t>.</w:t>
      </w:r>
      <w:r w:rsidR="0010369E" w:rsidRPr="00C1693B">
        <w:rPr>
          <w:rFonts w:cs="Times New Roman"/>
        </w:rPr>
        <w:t xml:space="preserve"> </w:t>
      </w:r>
      <w:r w:rsidR="009854ED" w:rsidRPr="00C1693B">
        <w:rPr>
          <w:rFonts w:cs="Times New Roman"/>
        </w:rPr>
        <w:t xml:space="preserve">L’attività estrattiva è </w:t>
      </w:r>
      <w:r w:rsidR="0050224E" w:rsidRPr="00C1693B">
        <w:rPr>
          <w:rFonts w:cs="Times New Roman"/>
        </w:rPr>
        <w:t xml:space="preserve">competenza </w:t>
      </w:r>
      <w:r w:rsidR="00366C2D" w:rsidRPr="00C1693B">
        <w:rPr>
          <w:rFonts w:cs="Times New Roman"/>
        </w:rPr>
        <w:t>dell’ “</w:t>
      </w:r>
      <w:r w:rsidR="0050224E" w:rsidRPr="00C1693B">
        <w:rPr>
          <w:rFonts w:cs="Times New Roman"/>
        </w:rPr>
        <w:t>OJSC Uzbekkumir</w:t>
      </w:r>
      <w:r w:rsidR="00366C2D" w:rsidRPr="00C1693B">
        <w:rPr>
          <w:rFonts w:cs="Times New Roman"/>
        </w:rPr>
        <w:t>”</w:t>
      </w:r>
      <w:r w:rsidR="009854ED" w:rsidRPr="00C1693B">
        <w:rPr>
          <w:rFonts w:cs="Times New Roman"/>
        </w:rPr>
        <w:t xml:space="preserve"> una controllata della compagnia statale Uzbeken</w:t>
      </w:r>
      <w:r w:rsidR="00A358E1" w:rsidRPr="00C1693B">
        <w:rPr>
          <w:rFonts w:cs="Times New Roman"/>
        </w:rPr>
        <w:t xml:space="preserve">ergo, di cui, in seguito alla ristrutturazione della compagnia di </w:t>
      </w:r>
      <w:r w:rsidR="00366C2D" w:rsidRPr="00C1693B">
        <w:rPr>
          <w:rFonts w:cs="Times New Roman"/>
        </w:rPr>
        <w:t>S</w:t>
      </w:r>
      <w:r w:rsidR="00A358E1" w:rsidRPr="00C1693B">
        <w:rPr>
          <w:rFonts w:cs="Times New Roman"/>
        </w:rPr>
        <w:t>tato, fa parte dal 2001.</w:t>
      </w:r>
    </w:p>
    <w:p w:rsidR="009854ED" w:rsidRPr="00C1693B" w:rsidRDefault="009B551E" w:rsidP="00E440A7">
      <w:pPr>
        <w:rPr>
          <w:rFonts w:cs="Times New Roman"/>
          <w:b/>
          <w:i/>
        </w:rPr>
      </w:pPr>
      <w:r w:rsidRPr="00C1693B">
        <w:rPr>
          <w:rFonts w:cs="Times New Roman"/>
          <w:b/>
          <w:i/>
          <w:noProof/>
          <w:lang w:eastAsia="it-IT"/>
        </w:rPr>
        <w:t>.</w:t>
      </w:r>
      <w:r w:rsidR="00FE40C6" w:rsidRPr="00C1693B">
        <w:rPr>
          <w:rFonts w:cs="Times New Roman"/>
          <w:b/>
          <w:i/>
          <w:noProof/>
          <w:lang w:eastAsia="it-IT"/>
        </w:rPr>
        <w:drawing>
          <wp:inline distT="0" distB="0" distL="0" distR="0">
            <wp:extent cx="4838700" cy="2999105"/>
            <wp:effectExtent l="25400" t="0" r="0" b="0"/>
            <wp:docPr id="1" name="Immagine 0" descr="carb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e.gif"/>
                    <pic:cNvPicPr/>
                  </pic:nvPicPr>
                  <pic:blipFill>
                    <a:blip r:embed="rId12"/>
                    <a:stretch>
                      <a:fillRect/>
                    </a:stretch>
                  </pic:blipFill>
                  <pic:spPr>
                    <a:xfrm>
                      <a:off x="0" y="0"/>
                      <a:ext cx="4838700" cy="2999105"/>
                    </a:xfrm>
                    <a:prstGeom prst="rect">
                      <a:avLst/>
                    </a:prstGeom>
                  </pic:spPr>
                </pic:pic>
              </a:graphicData>
            </a:graphic>
          </wp:inline>
        </w:drawing>
      </w:r>
    </w:p>
    <w:p w:rsidR="0050224E" w:rsidRPr="00C1693B" w:rsidRDefault="0050224E" w:rsidP="00E440A7">
      <w:pPr>
        <w:rPr>
          <w:rFonts w:cs="Times New Roman"/>
        </w:rPr>
      </w:pPr>
      <w:r w:rsidRPr="00C1693B">
        <w:rPr>
          <w:rFonts w:cs="Times New Roman"/>
        </w:rPr>
        <w:t xml:space="preserve">Per quanto riguarda la pianificazione industriale del settore, il </w:t>
      </w:r>
      <w:r w:rsidR="00366C2D" w:rsidRPr="00C1693B">
        <w:rPr>
          <w:rFonts w:cs="Times New Roman"/>
        </w:rPr>
        <w:t>G</w:t>
      </w:r>
      <w:r w:rsidRPr="00C1693B">
        <w:rPr>
          <w:rFonts w:cs="Times New Roman"/>
        </w:rPr>
        <w:t xml:space="preserve">overno è intenzionato ad </w:t>
      </w:r>
      <w:r w:rsidR="00091D51" w:rsidRPr="00C1693B">
        <w:rPr>
          <w:rFonts w:cs="Times New Roman"/>
        </w:rPr>
        <w:t>aumentare</w:t>
      </w:r>
      <w:r w:rsidRPr="00C1693B">
        <w:rPr>
          <w:rFonts w:cs="Times New Roman"/>
        </w:rPr>
        <w:t xml:space="preserve"> la percentuale di carbone come combustibile per produrre energia, in modo da ridurre la combust</w:t>
      </w:r>
      <w:r w:rsidR="009B551E" w:rsidRPr="00C1693B">
        <w:rPr>
          <w:rFonts w:cs="Times New Roman"/>
        </w:rPr>
        <w:t>ione di gas, che potrebbe essere</w:t>
      </w:r>
      <w:r w:rsidR="00E32355" w:rsidRPr="00C1693B">
        <w:rPr>
          <w:rFonts w:cs="Times New Roman"/>
        </w:rPr>
        <w:t xml:space="preserve"> così impiegato </w:t>
      </w:r>
      <w:r w:rsidRPr="00C1693B">
        <w:rPr>
          <w:rFonts w:cs="Times New Roman"/>
        </w:rPr>
        <w:t xml:space="preserve">in maniera più redditizia. In quest’ottica dobbiamo leggere la volontà di Uzbekkumir di implementare entro il 2015 una serie di progetti </w:t>
      </w:r>
      <w:r w:rsidR="00E03000" w:rsidRPr="00C1693B">
        <w:rPr>
          <w:rFonts w:cs="Times New Roman"/>
        </w:rPr>
        <w:t>d’</w:t>
      </w:r>
      <w:r w:rsidRPr="00C1693B">
        <w:rPr>
          <w:rFonts w:cs="Times New Roman"/>
        </w:rPr>
        <w:t>investimento per l’ammontare di 1,1 miliardi di dollari.</w:t>
      </w:r>
      <w:r w:rsidR="00191952" w:rsidRPr="00C1693B">
        <w:rPr>
          <w:rFonts w:cs="Times New Roman"/>
        </w:rPr>
        <w:t xml:space="preserve"> Il “</w:t>
      </w:r>
      <w:r w:rsidR="00191952" w:rsidRPr="00C1693B">
        <w:rPr>
          <w:rFonts w:cs="Times New Roman"/>
          <w:i/>
        </w:rPr>
        <w:t xml:space="preserve">programma per </w:t>
      </w:r>
      <w:r w:rsidR="00366C2D" w:rsidRPr="00C1693B">
        <w:rPr>
          <w:rFonts w:cs="Times New Roman"/>
          <w:i/>
        </w:rPr>
        <w:t>successivi</w:t>
      </w:r>
      <w:r w:rsidR="00191952" w:rsidRPr="00C1693B">
        <w:rPr>
          <w:rFonts w:cs="Times New Roman"/>
          <w:i/>
        </w:rPr>
        <w:t xml:space="preserve"> sviluppi dell’industria </w:t>
      </w:r>
      <w:r w:rsidR="00DF16A5" w:rsidRPr="00C1693B">
        <w:rPr>
          <w:rFonts w:cs="Times New Roman"/>
          <w:i/>
        </w:rPr>
        <w:t>del carbone</w:t>
      </w:r>
      <w:r w:rsidR="00DF16A5" w:rsidRPr="00C1693B">
        <w:rPr>
          <w:rFonts w:cs="Times New Roman"/>
        </w:rPr>
        <w:t>” prevede sei stadi di</w:t>
      </w:r>
      <w:r w:rsidRPr="00C1693B">
        <w:rPr>
          <w:rFonts w:cs="Times New Roman"/>
        </w:rPr>
        <w:t xml:space="preserve"> </w:t>
      </w:r>
      <w:r w:rsidR="00DF16A5" w:rsidRPr="00C1693B">
        <w:rPr>
          <w:rFonts w:cs="Times New Roman"/>
          <w:color w:val="262626"/>
        </w:rPr>
        <w:t>r</w:t>
      </w:r>
      <w:r w:rsidR="00191952" w:rsidRPr="00C1693B">
        <w:rPr>
          <w:rFonts w:cs="Times New Roman"/>
          <w:color w:val="262626"/>
        </w:rPr>
        <w:t>iequi</w:t>
      </w:r>
      <w:r w:rsidR="00DF16A5" w:rsidRPr="00C1693B">
        <w:rPr>
          <w:rFonts w:cs="Times New Roman"/>
          <w:color w:val="262626"/>
        </w:rPr>
        <w:t>paggiamento tecnico, modernizzazione d’impresa</w:t>
      </w:r>
      <w:r w:rsidR="00191952" w:rsidRPr="00C1693B">
        <w:rPr>
          <w:rFonts w:cs="Times New Roman"/>
          <w:color w:val="262626"/>
        </w:rPr>
        <w:t xml:space="preserve">, </w:t>
      </w:r>
      <w:r w:rsidR="00DF16A5" w:rsidRPr="00C1693B">
        <w:rPr>
          <w:rFonts w:cs="Times New Roman"/>
          <w:color w:val="262626"/>
        </w:rPr>
        <w:t xml:space="preserve">introduzione di tecnologie per il risparmio energetico, </w:t>
      </w:r>
      <w:r w:rsidR="00366C2D" w:rsidRPr="00C1693B">
        <w:rPr>
          <w:rFonts w:cs="Times New Roman"/>
          <w:color w:val="262626"/>
        </w:rPr>
        <w:t>sviluppo</w:t>
      </w:r>
      <w:r w:rsidR="00DF16A5" w:rsidRPr="00C1693B">
        <w:rPr>
          <w:rFonts w:cs="Times New Roman"/>
          <w:color w:val="262626"/>
        </w:rPr>
        <w:t xml:space="preserve"> dell’efficienza del settore</w:t>
      </w:r>
      <w:r w:rsidR="00191952" w:rsidRPr="00C1693B">
        <w:rPr>
          <w:rFonts w:cs="Times New Roman"/>
          <w:color w:val="262626"/>
        </w:rPr>
        <w:t>.</w:t>
      </w:r>
      <w:r w:rsidR="00DF16A5" w:rsidRPr="00C1693B">
        <w:rPr>
          <w:rFonts w:cs="Times New Roman"/>
          <w:color w:val="262626"/>
        </w:rPr>
        <w:t xml:space="preserve"> </w:t>
      </w:r>
      <w:r w:rsidRPr="00C1693B">
        <w:rPr>
          <w:rFonts w:cs="Times New Roman"/>
        </w:rPr>
        <w:t>Tra i maggiori progetti in cantiere c’è la modernizzazione della miniera di superficie di Angren per aumentarne la capacità</w:t>
      </w:r>
      <w:r w:rsidR="008C6873" w:rsidRPr="00C1693B">
        <w:rPr>
          <w:rFonts w:cs="Times New Roman"/>
        </w:rPr>
        <w:t xml:space="preserve"> produttiva a 6.4 M</w:t>
      </w:r>
      <w:r w:rsidRPr="00C1693B">
        <w:rPr>
          <w:rFonts w:cs="Times New Roman"/>
        </w:rPr>
        <w:t>t annue</w:t>
      </w:r>
      <w:r w:rsidR="00366C2D" w:rsidRPr="00C1693B">
        <w:rPr>
          <w:rFonts w:cs="Times New Roman"/>
        </w:rPr>
        <w:t>;</w:t>
      </w:r>
      <w:r w:rsidR="008C6873" w:rsidRPr="00C1693B">
        <w:rPr>
          <w:rFonts w:cs="Times New Roman"/>
        </w:rPr>
        <w:t xml:space="preserve"> </w:t>
      </w:r>
      <w:r w:rsidR="00366C2D" w:rsidRPr="00C1693B">
        <w:rPr>
          <w:rFonts w:cs="Times New Roman"/>
        </w:rPr>
        <w:t xml:space="preserve">cio’ </w:t>
      </w:r>
      <w:r w:rsidR="008C6873" w:rsidRPr="00C1693B">
        <w:rPr>
          <w:rFonts w:cs="Times New Roman"/>
        </w:rPr>
        <w:t>permetterebbe di utilizzare il carbone nella centrale termica di Novo</w:t>
      </w:r>
      <w:r w:rsidR="005763D7" w:rsidRPr="00C1693B">
        <w:rPr>
          <w:rFonts w:cs="Times New Roman"/>
        </w:rPr>
        <w:t>-A</w:t>
      </w:r>
      <w:r w:rsidR="008C6873" w:rsidRPr="00C1693B">
        <w:rPr>
          <w:rFonts w:cs="Times New Roman"/>
        </w:rPr>
        <w:t xml:space="preserve">ngren, risparmiando 850 </w:t>
      </w:r>
      <w:r w:rsidR="00091D51" w:rsidRPr="00C1693B">
        <w:rPr>
          <w:rFonts w:cs="Times New Roman"/>
        </w:rPr>
        <w:t>milioni</w:t>
      </w:r>
      <w:r w:rsidR="008C6873" w:rsidRPr="00C1693B">
        <w:rPr>
          <w:rFonts w:cs="Times New Roman"/>
        </w:rPr>
        <w:t xml:space="preserve"> di m</w:t>
      </w:r>
      <w:r w:rsidR="008C6873" w:rsidRPr="00C1693B">
        <w:rPr>
          <w:rFonts w:cs="Times New Roman"/>
          <w:vertAlign w:val="superscript"/>
        </w:rPr>
        <w:t>3</w:t>
      </w:r>
      <w:r w:rsidR="008C6873" w:rsidRPr="00C1693B">
        <w:rPr>
          <w:rFonts w:cs="Times New Roman"/>
        </w:rPr>
        <w:t xml:space="preserve"> di gas all’anno. Per questo progetto Uzbekkumir ha siglato un contratto con la Sino Coal International Engin</w:t>
      </w:r>
      <w:r w:rsidR="00091D51" w:rsidRPr="00C1693B">
        <w:rPr>
          <w:rFonts w:cs="Times New Roman"/>
        </w:rPr>
        <w:t>e</w:t>
      </w:r>
      <w:r w:rsidR="008C6873" w:rsidRPr="00C1693B">
        <w:rPr>
          <w:rFonts w:cs="Times New Roman"/>
        </w:rPr>
        <w:t>ering (Cina) per modernizzare la miniera di Angren e migliorare quindi la qualità del carbone estratto. Questo progetto dovrebbe portare al 15% la</w:t>
      </w:r>
      <w:r w:rsidR="00E32355" w:rsidRPr="00C1693B">
        <w:rPr>
          <w:rFonts w:cs="Times New Roman"/>
        </w:rPr>
        <w:t xml:space="preserve"> </w:t>
      </w:r>
      <w:r w:rsidR="005763D7" w:rsidRPr="00C1693B">
        <w:rPr>
          <w:rFonts w:cs="Times New Roman"/>
        </w:rPr>
        <w:t>percentuale di carbone utilizzata dal sistema industriale</w:t>
      </w:r>
      <w:r w:rsidR="008C6873" w:rsidRPr="00C1693B">
        <w:rPr>
          <w:rFonts w:cs="Times New Roman"/>
        </w:rPr>
        <w:t xml:space="preserve"> nella produzione di energia. Altri investimenti sono inoltre previsti per modernizzare e riequipaggiare la miniera di Shargun e costruire una nuova miniera nel giacimento di Boysun.</w:t>
      </w:r>
    </w:p>
    <w:p w:rsidR="006260EB" w:rsidRPr="00C1693B" w:rsidRDefault="006260EB" w:rsidP="00E440A7">
      <w:pPr>
        <w:pStyle w:val="Titolo2"/>
        <w:spacing w:before="0"/>
        <w:rPr>
          <w:rFonts w:ascii="Times New Roman" w:hAnsi="Times New Roman" w:cs="Times New Roman"/>
          <w:sz w:val="24"/>
          <w:szCs w:val="24"/>
        </w:rPr>
      </w:pPr>
    </w:p>
    <w:p w:rsidR="006D1BCC" w:rsidRPr="00C1693B" w:rsidRDefault="00022FFC" w:rsidP="00E440A7">
      <w:pPr>
        <w:pStyle w:val="Titolo2"/>
        <w:spacing w:before="0"/>
        <w:rPr>
          <w:rFonts w:ascii="Times New Roman" w:hAnsi="Times New Roman" w:cs="Times New Roman"/>
          <w:sz w:val="24"/>
          <w:szCs w:val="24"/>
        </w:rPr>
      </w:pPr>
      <w:r w:rsidRPr="00C1693B">
        <w:rPr>
          <w:rFonts w:ascii="Times New Roman" w:hAnsi="Times New Roman" w:cs="Times New Roman"/>
          <w:sz w:val="24"/>
          <w:szCs w:val="24"/>
        </w:rPr>
        <w:t>Petrolio</w:t>
      </w:r>
    </w:p>
    <w:p w:rsidR="00091D51" w:rsidRPr="00C1693B" w:rsidRDefault="00091D51" w:rsidP="00E440A7">
      <w:pPr>
        <w:rPr>
          <w:rFonts w:cs="Times New Roman"/>
          <w:b/>
          <w:i/>
        </w:rPr>
      </w:pPr>
    </w:p>
    <w:p w:rsidR="0041152E" w:rsidRPr="00C1693B" w:rsidRDefault="00FB3D25" w:rsidP="00E440A7">
      <w:pPr>
        <w:rPr>
          <w:rFonts w:cs="Times New Roman"/>
        </w:rPr>
      </w:pPr>
      <w:r w:rsidRPr="00C1693B">
        <w:rPr>
          <w:rFonts w:cs="Times New Roman"/>
        </w:rPr>
        <w:t>Le riserve di petrolio secondo le stime ammontano a quasi 600 milioni di barili, con 171 giacimenti noti, di cui 51 producono greggio e 17 condensato</w:t>
      </w:r>
      <w:r w:rsidR="005C5A4F" w:rsidRPr="00C1693B">
        <w:rPr>
          <w:rFonts w:cs="Times New Roman"/>
        </w:rPr>
        <w:t>. L’</w:t>
      </w:r>
      <w:r w:rsidR="00806353" w:rsidRPr="00C1693B">
        <w:rPr>
          <w:rFonts w:cs="Times New Roman"/>
        </w:rPr>
        <w:t>area</w:t>
      </w:r>
      <w:r w:rsidR="006D1BCC" w:rsidRPr="00C1693B">
        <w:rPr>
          <w:rFonts w:cs="Times New Roman"/>
        </w:rPr>
        <w:t xml:space="preserve"> </w:t>
      </w:r>
      <w:r w:rsidR="005C5A4F" w:rsidRPr="00C1693B">
        <w:rPr>
          <w:rFonts w:cs="Times New Roman"/>
        </w:rPr>
        <w:t>maggiormente interessata</w:t>
      </w:r>
      <w:r w:rsidRPr="00C1693B">
        <w:rPr>
          <w:rFonts w:cs="Times New Roman"/>
        </w:rPr>
        <w:t xml:space="preserve"> dalla presenza </w:t>
      </w:r>
      <w:r w:rsidR="00E03000" w:rsidRPr="00C1693B">
        <w:rPr>
          <w:rFonts w:cs="Times New Roman"/>
        </w:rPr>
        <w:t>d’</w:t>
      </w:r>
      <w:r w:rsidR="00806353" w:rsidRPr="00C1693B">
        <w:rPr>
          <w:rFonts w:cs="Times New Roman"/>
        </w:rPr>
        <w:t>idrocarburi è</w:t>
      </w:r>
      <w:r w:rsidRPr="00C1693B">
        <w:rPr>
          <w:rFonts w:cs="Times New Roman"/>
        </w:rPr>
        <w:t xml:space="preserve"> quella Bukhara</w:t>
      </w:r>
      <w:r w:rsidR="00466EA0" w:rsidRPr="00C1693B">
        <w:rPr>
          <w:rFonts w:cs="Times New Roman"/>
        </w:rPr>
        <w:t>-Khiva</w:t>
      </w:r>
      <w:r w:rsidR="00806353" w:rsidRPr="00C1693B">
        <w:rPr>
          <w:rFonts w:cs="Times New Roman"/>
        </w:rPr>
        <w:t xml:space="preserve">, </w:t>
      </w:r>
      <w:r w:rsidRPr="00C1693B">
        <w:rPr>
          <w:rFonts w:cs="Times New Roman"/>
        </w:rPr>
        <w:t>anche se, eccetto quello</w:t>
      </w:r>
      <w:r w:rsidR="00E03000" w:rsidRPr="00C1693B">
        <w:rPr>
          <w:rFonts w:cs="Times New Roman"/>
        </w:rPr>
        <w:t xml:space="preserve"> di</w:t>
      </w:r>
      <w:r w:rsidRPr="00C1693B">
        <w:rPr>
          <w:rFonts w:cs="Times New Roman"/>
        </w:rPr>
        <w:t xml:space="preserve"> Kokdumalak, vi si rintracciano</w:t>
      </w:r>
      <w:r w:rsidR="00806353" w:rsidRPr="00C1693B">
        <w:rPr>
          <w:rFonts w:cs="Times New Roman"/>
        </w:rPr>
        <w:t xml:space="preserve"> solo</w:t>
      </w:r>
      <w:r w:rsidRPr="00C1693B">
        <w:rPr>
          <w:rFonts w:cs="Times New Roman"/>
        </w:rPr>
        <w:t xml:space="preserve"> g</w:t>
      </w:r>
      <w:r w:rsidR="00806353" w:rsidRPr="00C1693B">
        <w:rPr>
          <w:rFonts w:cs="Times New Roman"/>
        </w:rPr>
        <w:t>iacimenti di piccole dimensioni.</w:t>
      </w:r>
      <w:r w:rsidRPr="00C1693B">
        <w:rPr>
          <w:rFonts w:cs="Times New Roman"/>
        </w:rPr>
        <w:t xml:space="preserve"> Altre regioni ricche </w:t>
      </w:r>
      <w:r w:rsidR="00806353" w:rsidRPr="00C1693B">
        <w:rPr>
          <w:rFonts w:cs="Times New Roman"/>
        </w:rPr>
        <w:t>d’</w:t>
      </w:r>
      <w:r w:rsidRPr="00C1693B">
        <w:rPr>
          <w:rFonts w:cs="Times New Roman"/>
        </w:rPr>
        <w:t xml:space="preserve">idrocarburi sono il lago d’Aral, </w:t>
      </w:r>
      <w:r w:rsidR="005D0EDE" w:rsidRPr="00C1693B">
        <w:rPr>
          <w:rFonts w:cs="Times New Roman"/>
        </w:rPr>
        <w:t xml:space="preserve">il </w:t>
      </w:r>
      <w:r w:rsidRPr="00C1693B">
        <w:rPr>
          <w:rFonts w:cs="Times New Roman"/>
        </w:rPr>
        <w:t>Gissar sudoccidentale, S</w:t>
      </w:r>
      <w:r w:rsidR="005C70DE" w:rsidRPr="00C1693B">
        <w:rPr>
          <w:rFonts w:cs="Times New Roman"/>
        </w:rPr>
        <w:t>urkhan-Darya e la valle di Ferg</w:t>
      </w:r>
      <w:r w:rsidRPr="00C1693B">
        <w:rPr>
          <w:rFonts w:cs="Times New Roman"/>
        </w:rPr>
        <w:t>ana.</w:t>
      </w:r>
      <w:r w:rsidR="00435A67" w:rsidRPr="00C1693B">
        <w:rPr>
          <w:rFonts w:cs="Times New Roman"/>
        </w:rPr>
        <w:t xml:space="preserve"> Tuttavia, tali zone non possono essere considerate omogenee in quanto ad appetibilità: ad esempio il Gissar Sudoccidentale è una </w:t>
      </w:r>
      <w:r w:rsidR="00366C2D" w:rsidRPr="00C1693B">
        <w:rPr>
          <w:rFonts w:cs="Times New Roman"/>
        </w:rPr>
        <w:t>R</w:t>
      </w:r>
      <w:r w:rsidR="00435A67" w:rsidRPr="00C1693B">
        <w:rPr>
          <w:rFonts w:cs="Times New Roman"/>
        </w:rPr>
        <w:t xml:space="preserve">egione che ha già avuto la sua età dell’oro ed è adesso in declino, mentre il lago d’Aral è ancora parzialmente inesplorato e gode di molte aspettative da parte delle </w:t>
      </w:r>
      <w:r w:rsidR="00366C2D" w:rsidRPr="00C1693B">
        <w:rPr>
          <w:rFonts w:cs="Times New Roman"/>
        </w:rPr>
        <w:t>A</w:t>
      </w:r>
      <w:r w:rsidR="00435A67" w:rsidRPr="00C1693B">
        <w:rPr>
          <w:rFonts w:cs="Times New Roman"/>
        </w:rPr>
        <w:t>utorità</w:t>
      </w:r>
      <w:r w:rsidR="00366C2D" w:rsidRPr="00C1693B">
        <w:rPr>
          <w:rFonts w:cs="Times New Roman"/>
        </w:rPr>
        <w:t xml:space="preserve"> uzbeke</w:t>
      </w:r>
      <w:r w:rsidR="00435A67" w:rsidRPr="00C1693B">
        <w:rPr>
          <w:rFonts w:cs="Times New Roman"/>
        </w:rPr>
        <w:t xml:space="preserve">. </w:t>
      </w:r>
      <w:r w:rsidR="005C70DE" w:rsidRPr="00C1693B">
        <w:rPr>
          <w:rFonts w:cs="Times New Roman"/>
        </w:rPr>
        <w:t>La produzione di petrolio ha iniziato a calare nel 2003 per via d’infrastrutture obsolete,</w:t>
      </w:r>
      <w:r w:rsidR="0041152E" w:rsidRPr="00C1693B">
        <w:rPr>
          <w:rFonts w:cs="Times New Roman"/>
        </w:rPr>
        <w:t xml:space="preserve"> che, in maggioranza risalenti al periodo sovietico, hanno già consentito di sfruttare tutto ciò che era possibile, viste le tecnologie disponibili. Per incrementare la produzione sarebbero</w:t>
      </w:r>
      <w:r w:rsidR="00226CFA" w:rsidRPr="00C1693B">
        <w:rPr>
          <w:rFonts w:cs="Times New Roman"/>
        </w:rPr>
        <w:t xml:space="preserve"> inoltre</w:t>
      </w:r>
      <w:r w:rsidR="0041152E" w:rsidRPr="00C1693B">
        <w:rPr>
          <w:rFonts w:cs="Times New Roman"/>
        </w:rPr>
        <w:t xml:space="preserve"> necessari investimenti esteri di alto profilo tecnologico, in grado di superare gli ostacoli naturali e rendere redditizi quei giacimenti rimasti sinora inesplorati, inaccessibili e difficilmente sfruttabili con profitto.</w:t>
      </w:r>
    </w:p>
    <w:p w:rsidR="005C70DE" w:rsidRPr="00C1693B" w:rsidRDefault="00366C2D" w:rsidP="00E440A7">
      <w:pPr>
        <w:rPr>
          <w:rFonts w:cs="Times New Roman"/>
        </w:rPr>
      </w:pPr>
      <w:r w:rsidRPr="00C1693B">
        <w:rPr>
          <w:rFonts w:cs="Times New Roman"/>
        </w:rPr>
        <w:t>La prosuzione n</w:t>
      </w:r>
      <w:r w:rsidR="005C70DE" w:rsidRPr="00C1693B">
        <w:rPr>
          <w:rFonts w:cs="Times New Roman"/>
        </w:rPr>
        <w:t xml:space="preserve">el 2010 è stata do 59.000 barili al giorno, ovvero inferiore del 60% rispetto ai livelli di dieci anni prima. La domanda interna supera, quindi, la produzione domestica, imponendo all’Uzbekistan di importare modeste quantità di greggio dal </w:t>
      </w:r>
      <w:r w:rsidR="00CD7C94" w:rsidRPr="00C1693B">
        <w:rPr>
          <w:rFonts w:cs="Times New Roman"/>
        </w:rPr>
        <w:t>Kazakistan</w:t>
      </w:r>
      <w:r w:rsidR="005C70DE" w:rsidRPr="00C1693B">
        <w:rPr>
          <w:rFonts w:cs="Times New Roman"/>
        </w:rPr>
        <w:t xml:space="preserve"> verso cui, p</w:t>
      </w:r>
      <w:r w:rsidR="00CD7C94" w:rsidRPr="00C1693B">
        <w:rPr>
          <w:rFonts w:cs="Times New Roman"/>
        </w:rPr>
        <w:t>erò, esporta prodotti raffinati</w:t>
      </w:r>
      <w:r w:rsidRPr="00C1693B">
        <w:rPr>
          <w:rFonts w:cs="Times New Roman"/>
        </w:rPr>
        <w:t xml:space="preserve">, </w:t>
      </w:r>
      <w:r w:rsidR="00CD7C94" w:rsidRPr="00C1693B">
        <w:rPr>
          <w:rFonts w:cs="Times New Roman"/>
        </w:rPr>
        <w:t>anche in virtù del fatto che</w:t>
      </w:r>
      <w:r w:rsidR="00666956" w:rsidRPr="00C1693B">
        <w:rPr>
          <w:rFonts w:cs="Times New Roman"/>
        </w:rPr>
        <w:t>, invece,</w:t>
      </w:r>
      <w:r w:rsidR="00CD7C94" w:rsidRPr="00C1693B">
        <w:rPr>
          <w:rFonts w:cs="Times New Roman"/>
        </w:rPr>
        <w:t xml:space="preserve"> dal 2010  il </w:t>
      </w:r>
      <w:r w:rsidRPr="00C1693B">
        <w:rPr>
          <w:rFonts w:cs="Times New Roman"/>
        </w:rPr>
        <w:t>P</w:t>
      </w:r>
      <w:r w:rsidR="00CD7C94" w:rsidRPr="00C1693B">
        <w:rPr>
          <w:rFonts w:cs="Times New Roman"/>
        </w:rPr>
        <w:t xml:space="preserve">aese confinante </w:t>
      </w:r>
      <w:r w:rsidRPr="00C1693B">
        <w:rPr>
          <w:rFonts w:cs="Times New Roman"/>
        </w:rPr>
        <w:t xml:space="preserve">in questione </w:t>
      </w:r>
      <w:r w:rsidR="00CD7C94" w:rsidRPr="00C1693B">
        <w:rPr>
          <w:rFonts w:cs="Times New Roman"/>
        </w:rPr>
        <w:t>ha per tre volte rinnovato un bando all’esportazione di prodotti petrolchimici raffinati ad eccezioni di benzine speciali e nafta.</w:t>
      </w:r>
    </w:p>
    <w:p w:rsidR="00FB3D25" w:rsidRPr="00C1693B" w:rsidRDefault="00FB3D25" w:rsidP="00E440A7">
      <w:pPr>
        <w:rPr>
          <w:rFonts w:cs="Times New Roman"/>
        </w:rPr>
      </w:pPr>
    </w:p>
    <w:p w:rsidR="005C70DE" w:rsidRPr="00C1693B" w:rsidRDefault="005C70DE" w:rsidP="00E440A7">
      <w:pPr>
        <w:rPr>
          <w:rFonts w:cs="Times New Roman"/>
        </w:rPr>
      </w:pPr>
    </w:p>
    <w:p w:rsidR="005C70DE" w:rsidRPr="00C1693B" w:rsidRDefault="005C70DE" w:rsidP="00E440A7">
      <w:pPr>
        <w:rPr>
          <w:rFonts w:cs="Times New Roman"/>
        </w:rPr>
      </w:pPr>
      <w:r w:rsidRPr="00C1693B">
        <w:rPr>
          <w:rFonts w:cs="Times New Roman"/>
          <w:noProof/>
          <w:lang w:eastAsia="it-IT"/>
        </w:rPr>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4846320" cy="3200400"/>
            <wp:effectExtent l="25400" t="0" r="5080" b="0"/>
            <wp:wrapTopAndBottom/>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46320" cy="3200400"/>
                    </a:xfrm>
                    <a:prstGeom prst="rect">
                      <a:avLst/>
                    </a:prstGeom>
                    <a:noFill/>
                    <a:ln w="9525">
                      <a:noFill/>
                      <a:miter lim="800000"/>
                      <a:headEnd/>
                      <a:tailEnd/>
                    </a:ln>
                  </pic:spPr>
                </pic:pic>
              </a:graphicData>
            </a:graphic>
          </wp:anchor>
        </w:drawing>
      </w:r>
    </w:p>
    <w:p w:rsidR="002112CD" w:rsidRPr="00C1693B" w:rsidRDefault="00366C2D" w:rsidP="00E440A7">
      <w:pPr>
        <w:rPr>
          <w:rFonts w:cs="Times New Roman"/>
        </w:rPr>
      </w:pPr>
      <w:r w:rsidRPr="00C1693B">
        <w:rPr>
          <w:rFonts w:cs="Times New Roman"/>
        </w:rPr>
        <w:t xml:space="preserve">Oggi </w:t>
      </w:r>
      <w:r w:rsidR="005D0EDE" w:rsidRPr="00C1693B">
        <w:rPr>
          <w:rFonts w:cs="Times New Roman"/>
        </w:rPr>
        <w:t xml:space="preserve">il </w:t>
      </w:r>
      <w:r w:rsidRPr="00C1693B">
        <w:rPr>
          <w:rFonts w:cs="Times New Roman"/>
        </w:rPr>
        <w:t>P</w:t>
      </w:r>
      <w:r w:rsidR="005D0EDE" w:rsidRPr="00C1693B">
        <w:rPr>
          <w:rFonts w:cs="Times New Roman"/>
        </w:rPr>
        <w:t xml:space="preserve">aese possiede 2 raffinerie: una a </w:t>
      </w:r>
      <w:r w:rsidR="00FB3D25" w:rsidRPr="00C1693B">
        <w:rPr>
          <w:rFonts w:cs="Times New Roman"/>
        </w:rPr>
        <w:t xml:space="preserve">Ferghana </w:t>
      </w:r>
      <w:r w:rsidR="005D0EDE" w:rsidRPr="00C1693B">
        <w:rPr>
          <w:rFonts w:cs="Times New Roman"/>
        </w:rPr>
        <w:t>ed una a Bukhara. Quest’ultima produce una decina di prodotti raffinati, quella di Ferghana</w:t>
      </w:r>
      <w:r w:rsidR="00FB3D25" w:rsidRPr="00C1693B">
        <w:rPr>
          <w:rFonts w:cs="Times New Roman"/>
        </w:rPr>
        <w:t xml:space="preserve"> </w:t>
      </w:r>
      <w:r w:rsidR="005D0EDE" w:rsidRPr="00C1693B">
        <w:rPr>
          <w:rFonts w:cs="Times New Roman"/>
        </w:rPr>
        <w:t>ne</w:t>
      </w:r>
      <w:r w:rsidR="002112CD" w:rsidRPr="00C1693B">
        <w:rPr>
          <w:rFonts w:cs="Times New Roman"/>
        </w:rPr>
        <w:t xml:space="preserve"> </w:t>
      </w:r>
      <w:r w:rsidR="00FB3D25" w:rsidRPr="00C1693B">
        <w:rPr>
          <w:rFonts w:cs="Times New Roman"/>
        </w:rPr>
        <w:t>produce una cinquan</w:t>
      </w:r>
      <w:r w:rsidR="005D0EDE" w:rsidRPr="00C1693B">
        <w:rPr>
          <w:rFonts w:cs="Times New Roman"/>
        </w:rPr>
        <w:t>tina ed</w:t>
      </w:r>
      <w:r w:rsidR="00FB3D25" w:rsidRPr="00C1693B">
        <w:rPr>
          <w:rFonts w:cs="Times New Roman"/>
        </w:rPr>
        <w:t xml:space="preserve"> ha una seconda divisione per la produzione di c</w:t>
      </w:r>
      <w:r w:rsidR="005D0EDE" w:rsidRPr="00C1693B">
        <w:rPr>
          <w:rFonts w:cs="Times New Roman"/>
        </w:rPr>
        <w:t>ombustibili, Alty Aryk.</w:t>
      </w:r>
      <w:r w:rsidR="002112CD" w:rsidRPr="00C1693B">
        <w:rPr>
          <w:rFonts w:cs="Times New Roman"/>
        </w:rPr>
        <w:t xml:space="preserve"> L’esportazione di tali derivati </w:t>
      </w:r>
      <w:r w:rsidR="005C5A4F" w:rsidRPr="00C1693B">
        <w:rPr>
          <w:rFonts w:cs="Times New Roman"/>
        </w:rPr>
        <w:t xml:space="preserve">avviene su gomma o su </w:t>
      </w:r>
      <w:r w:rsidR="00A213C8" w:rsidRPr="00C1693B">
        <w:rPr>
          <w:rFonts w:cs="Times New Roman"/>
        </w:rPr>
        <w:t>rotaia.</w:t>
      </w:r>
    </w:p>
    <w:p w:rsidR="003F19E6" w:rsidRPr="00C1693B" w:rsidRDefault="003F19E6" w:rsidP="00E440A7">
      <w:pPr>
        <w:rPr>
          <w:rFonts w:cs="Times New Roman"/>
        </w:rPr>
      </w:pPr>
    </w:p>
    <w:p w:rsidR="00297400" w:rsidRPr="00C1693B" w:rsidRDefault="003F19E6" w:rsidP="00E440A7">
      <w:pPr>
        <w:rPr>
          <w:rFonts w:cs="Times New Roman"/>
        </w:rPr>
      </w:pPr>
      <w:r w:rsidRPr="00C1693B">
        <w:rPr>
          <w:rFonts w:cs="Times New Roman"/>
        </w:rPr>
        <w:t>L’esplorazione</w:t>
      </w:r>
      <w:r w:rsidR="00366C2D" w:rsidRPr="00C1693B">
        <w:rPr>
          <w:rFonts w:cs="Times New Roman"/>
        </w:rPr>
        <w:t xml:space="preserve"> </w:t>
      </w:r>
      <w:r w:rsidRPr="00C1693B">
        <w:rPr>
          <w:rFonts w:cs="Times New Roman"/>
        </w:rPr>
        <w:t>(</w:t>
      </w:r>
      <w:r w:rsidR="00C24557" w:rsidRPr="00C1693B">
        <w:rPr>
          <w:rFonts w:cs="Times New Roman"/>
          <w:i/>
        </w:rPr>
        <w:t>U</w:t>
      </w:r>
      <w:r w:rsidRPr="00C1693B">
        <w:rPr>
          <w:rFonts w:cs="Times New Roman"/>
          <w:i/>
        </w:rPr>
        <w:t>pstream)</w:t>
      </w:r>
      <w:r w:rsidRPr="00C1693B">
        <w:rPr>
          <w:rFonts w:cs="Times New Roman"/>
        </w:rPr>
        <w:t>, la produzione</w:t>
      </w:r>
      <w:r w:rsidR="00366C2D" w:rsidRPr="00C1693B">
        <w:rPr>
          <w:rFonts w:cs="Times New Roman"/>
        </w:rPr>
        <w:t xml:space="preserve"> </w:t>
      </w:r>
      <w:r w:rsidRPr="00C1693B">
        <w:rPr>
          <w:rFonts w:cs="Times New Roman"/>
        </w:rPr>
        <w:t>(</w:t>
      </w:r>
      <w:r w:rsidRPr="00C1693B">
        <w:rPr>
          <w:rFonts w:cs="Times New Roman"/>
          <w:i/>
        </w:rPr>
        <w:t>Midstream)</w:t>
      </w:r>
      <w:r w:rsidRPr="00C1693B">
        <w:rPr>
          <w:rFonts w:cs="Times New Roman"/>
        </w:rPr>
        <w:t xml:space="preserve"> e la raffinazione (</w:t>
      </w:r>
      <w:r w:rsidRPr="00C1693B">
        <w:rPr>
          <w:rFonts w:cs="Times New Roman"/>
          <w:i/>
        </w:rPr>
        <w:t>Downstream)</w:t>
      </w:r>
      <w:r w:rsidRPr="00C1693B">
        <w:rPr>
          <w:rFonts w:cs="Times New Roman"/>
        </w:rPr>
        <w:t xml:space="preserve"> degli idrocarburi è sotto il controllo della </w:t>
      </w:r>
      <w:r w:rsidR="00366C2D" w:rsidRPr="00C1693B">
        <w:rPr>
          <w:rFonts w:cs="Times New Roman"/>
        </w:rPr>
        <w:t>H</w:t>
      </w:r>
      <w:r w:rsidRPr="00C1693B">
        <w:rPr>
          <w:rFonts w:cs="Times New Roman"/>
        </w:rPr>
        <w:t xml:space="preserve">olding </w:t>
      </w:r>
      <w:r w:rsidR="00366C2D" w:rsidRPr="00C1693B">
        <w:rPr>
          <w:rFonts w:cs="Times New Roman"/>
        </w:rPr>
        <w:t>S</w:t>
      </w:r>
      <w:r w:rsidRPr="00C1693B">
        <w:rPr>
          <w:rFonts w:cs="Times New Roman"/>
        </w:rPr>
        <w:t>tatale Uzbekneft</w:t>
      </w:r>
      <w:r w:rsidR="00C24557" w:rsidRPr="00C1693B">
        <w:rPr>
          <w:rFonts w:cs="Times New Roman"/>
        </w:rPr>
        <w:t xml:space="preserve">egaz, che è stata ristrutturata nel 2004 per includere anche attività sussidiarie della filiera upstream e downstream, ma di cui è fallito il tentativo di privatizzarne il 49%. </w:t>
      </w:r>
    </w:p>
    <w:p w:rsidR="00AD60F9" w:rsidRPr="00C1693B" w:rsidRDefault="00FB3D25" w:rsidP="00E440A7">
      <w:pPr>
        <w:rPr>
          <w:rFonts w:cs="Times New Roman"/>
        </w:rPr>
      </w:pPr>
      <w:r w:rsidRPr="00C1693B">
        <w:rPr>
          <w:rFonts w:cs="Times New Roman"/>
        </w:rPr>
        <w:t>Nell’at</w:t>
      </w:r>
      <w:r w:rsidR="008032C5" w:rsidRPr="00C1693B">
        <w:rPr>
          <w:rFonts w:cs="Times New Roman"/>
        </w:rPr>
        <w:t>tività estrattiva è presente anche l</w:t>
      </w:r>
      <w:r w:rsidRPr="00C1693B">
        <w:rPr>
          <w:rFonts w:cs="Times New Roman"/>
        </w:rPr>
        <w:t>a compagnia russa Lukoil</w:t>
      </w:r>
      <w:r w:rsidR="008032C5" w:rsidRPr="00C1693B">
        <w:rPr>
          <w:rFonts w:cs="Times New Roman"/>
        </w:rPr>
        <w:t>,</w:t>
      </w:r>
      <w:r w:rsidR="00E32355" w:rsidRPr="00C1693B">
        <w:rPr>
          <w:rFonts w:cs="Times New Roman"/>
        </w:rPr>
        <w:t xml:space="preserve"> maggiore investitore straniero, n</w:t>
      </w:r>
      <w:r w:rsidR="008032C5" w:rsidRPr="00C1693B">
        <w:rPr>
          <w:rFonts w:cs="Times New Roman"/>
        </w:rPr>
        <w:t xml:space="preserve">ei giacimenti del Gissar sudoccidentale e della </w:t>
      </w:r>
      <w:r w:rsidR="00366C2D" w:rsidRPr="00C1693B">
        <w:rPr>
          <w:rFonts w:cs="Times New Roman"/>
        </w:rPr>
        <w:t>R</w:t>
      </w:r>
      <w:r w:rsidR="008032C5" w:rsidRPr="00C1693B">
        <w:rPr>
          <w:rFonts w:cs="Times New Roman"/>
        </w:rPr>
        <w:t>egione de</w:t>
      </w:r>
      <w:r w:rsidR="005C5A4F" w:rsidRPr="00C1693B">
        <w:rPr>
          <w:rFonts w:cs="Times New Roman"/>
        </w:rPr>
        <w:t>ll’</w:t>
      </w:r>
      <w:r w:rsidR="005C550C" w:rsidRPr="00C1693B">
        <w:rPr>
          <w:rFonts w:cs="Times New Roman"/>
        </w:rPr>
        <w:t xml:space="preserve">Ustyurt centrale, con una produzione che dovrebbe raggiungere il picco di 300.000 </w:t>
      </w:r>
      <w:r w:rsidR="00297400" w:rsidRPr="00C1693B">
        <w:rPr>
          <w:rFonts w:cs="Times New Roman"/>
        </w:rPr>
        <w:t xml:space="preserve"> tonnellate annue.</w:t>
      </w:r>
    </w:p>
    <w:p w:rsidR="003D4FA5" w:rsidRPr="00C1693B" w:rsidRDefault="0047071D" w:rsidP="00E440A7">
      <w:pPr>
        <w:rPr>
          <w:rFonts w:cs="Times New Roman"/>
        </w:rPr>
      </w:pPr>
      <w:r w:rsidRPr="00C1693B">
        <w:rPr>
          <w:rFonts w:cs="Times New Roman"/>
        </w:rPr>
        <w:t>Altre</w:t>
      </w:r>
      <w:r w:rsidR="00AD60F9" w:rsidRPr="00C1693B">
        <w:rPr>
          <w:rFonts w:cs="Times New Roman"/>
        </w:rPr>
        <w:t xml:space="preserve"> azie</w:t>
      </w:r>
      <w:r w:rsidRPr="00C1693B">
        <w:rPr>
          <w:rFonts w:cs="Times New Roman"/>
        </w:rPr>
        <w:t>nde</w:t>
      </w:r>
      <w:r w:rsidR="005C5A4F" w:rsidRPr="00C1693B">
        <w:rPr>
          <w:rFonts w:cs="Times New Roman"/>
        </w:rPr>
        <w:t xml:space="preserve"> straniere</w:t>
      </w:r>
      <w:r w:rsidRPr="00C1693B">
        <w:rPr>
          <w:rFonts w:cs="Times New Roman"/>
        </w:rPr>
        <w:t xml:space="preserve"> attive nel territorio sono</w:t>
      </w:r>
      <w:r w:rsidR="00F45039" w:rsidRPr="00C1693B">
        <w:rPr>
          <w:rFonts w:cs="Times New Roman"/>
        </w:rPr>
        <w:t xml:space="preserve"> la China Nation</w:t>
      </w:r>
      <w:r w:rsidRPr="00C1693B">
        <w:rPr>
          <w:rFonts w:cs="Times New Roman"/>
        </w:rPr>
        <w:t>al Petroleum Corporation (CNPC), e l’inglese Tethys Petroleum ltd, che ha siglato un Production Enhancement Contract (PEC)</w:t>
      </w:r>
      <w:r w:rsidR="003D4FA5" w:rsidRPr="00C1693B">
        <w:rPr>
          <w:rFonts w:cs="Times New Roman"/>
        </w:rPr>
        <w:t xml:space="preserve"> per il sito di Nort </w:t>
      </w:r>
      <w:r w:rsidR="003F19F4" w:rsidRPr="00C1693B">
        <w:rPr>
          <w:rFonts w:cs="Times New Roman"/>
        </w:rPr>
        <w:t>Urtabulak, nell’area di Bukhara. La compagnia ha inoltre</w:t>
      </w:r>
      <w:r w:rsidR="00466EA0" w:rsidRPr="00C1693B">
        <w:rPr>
          <w:rFonts w:cs="Times New Roman"/>
        </w:rPr>
        <w:t xml:space="preserve"> recentemente</w:t>
      </w:r>
      <w:r w:rsidR="005C5A4F" w:rsidRPr="00C1693B">
        <w:rPr>
          <w:rFonts w:cs="Times New Roman"/>
        </w:rPr>
        <w:t xml:space="preserve"> firmato</w:t>
      </w:r>
      <w:r w:rsidR="00466EA0" w:rsidRPr="00C1693B">
        <w:rPr>
          <w:rFonts w:cs="Times New Roman"/>
        </w:rPr>
        <w:t xml:space="preserve"> con Uzbekneftegaz due </w:t>
      </w:r>
      <w:r w:rsidR="00A008EF" w:rsidRPr="00C1693B">
        <w:rPr>
          <w:rFonts w:cs="Times New Roman"/>
        </w:rPr>
        <w:t>“M</w:t>
      </w:r>
      <w:r w:rsidR="00466EA0" w:rsidRPr="00C1693B">
        <w:rPr>
          <w:rFonts w:cs="Times New Roman"/>
        </w:rPr>
        <w:t xml:space="preserve">emorandum of </w:t>
      </w:r>
      <w:r w:rsidR="00A008EF" w:rsidRPr="00C1693B">
        <w:rPr>
          <w:rFonts w:cs="Times New Roman"/>
        </w:rPr>
        <w:t>U</w:t>
      </w:r>
      <w:r w:rsidR="00466EA0" w:rsidRPr="00C1693B">
        <w:rPr>
          <w:rFonts w:cs="Times New Roman"/>
        </w:rPr>
        <w:t>ndestanding</w:t>
      </w:r>
      <w:r w:rsidR="00A008EF" w:rsidRPr="00C1693B">
        <w:rPr>
          <w:rFonts w:cs="Times New Roman"/>
        </w:rPr>
        <w:t>”</w:t>
      </w:r>
      <w:r w:rsidR="00466EA0" w:rsidRPr="00C1693B">
        <w:rPr>
          <w:rFonts w:cs="Times New Roman"/>
        </w:rPr>
        <w:t>:</w:t>
      </w:r>
      <w:r w:rsidR="003F19F4" w:rsidRPr="00C1693B">
        <w:rPr>
          <w:rFonts w:cs="Times New Roman"/>
        </w:rPr>
        <w:t xml:space="preserve"> </w:t>
      </w:r>
      <w:r w:rsidR="00466EA0" w:rsidRPr="00C1693B">
        <w:rPr>
          <w:rFonts w:cs="Times New Roman"/>
        </w:rPr>
        <w:t xml:space="preserve">il primo </w:t>
      </w:r>
      <w:r w:rsidR="003F19F4" w:rsidRPr="00C1693B">
        <w:rPr>
          <w:rFonts w:cs="Times New Roman"/>
        </w:rPr>
        <w:t>nel novembre 2011</w:t>
      </w:r>
      <w:r w:rsidR="00466EA0" w:rsidRPr="00C1693B">
        <w:rPr>
          <w:rFonts w:cs="Times New Roman"/>
        </w:rPr>
        <w:t>,</w:t>
      </w:r>
      <w:r w:rsidR="003F19F4" w:rsidRPr="00C1693B">
        <w:rPr>
          <w:rFonts w:cs="Times New Roman"/>
        </w:rPr>
        <w:t xml:space="preserve"> per lo sfruttamento d</w:t>
      </w:r>
      <w:r w:rsidR="00466EA0" w:rsidRPr="00C1693B">
        <w:rPr>
          <w:rFonts w:cs="Times New Roman"/>
        </w:rPr>
        <w:t>el giacimento di Chergara</w:t>
      </w:r>
      <w:r w:rsidR="005C5A4F" w:rsidRPr="00C1693B">
        <w:rPr>
          <w:rFonts w:cs="Times New Roman"/>
        </w:rPr>
        <w:t xml:space="preserve"> </w:t>
      </w:r>
      <w:r w:rsidR="00466EA0" w:rsidRPr="00C1693B">
        <w:rPr>
          <w:rFonts w:cs="Times New Roman"/>
        </w:rPr>
        <w:t>(Bukhara), il secondo</w:t>
      </w:r>
      <w:r w:rsidR="003F19F4" w:rsidRPr="00C1693B">
        <w:rPr>
          <w:rFonts w:cs="Times New Roman"/>
        </w:rPr>
        <w:t xml:space="preserve"> </w:t>
      </w:r>
      <w:r w:rsidR="00466EA0" w:rsidRPr="00C1693B">
        <w:rPr>
          <w:rFonts w:cs="Times New Roman"/>
        </w:rPr>
        <w:t xml:space="preserve"> nel </w:t>
      </w:r>
      <w:r w:rsidR="003F19F4" w:rsidRPr="00C1693B">
        <w:rPr>
          <w:rFonts w:cs="Times New Roman"/>
        </w:rPr>
        <w:t>febbraio 2012 per l’espl</w:t>
      </w:r>
      <w:r w:rsidR="00466EA0" w:rsidRPr="00C1693B">
        <w:rPr>
          <w:rFonts w:cs="Times New Roman"/>
        </w:rPr>
        <w:t>orazione della zona dell’Ustyurt settentrionale.</w:t>
      </w:r>
    </w:p>
    <w:p w:rsidR="003D4FA5" w:rsidRPr="00C1693B" w:rsidRDefault="003D4FA5" w:rsidP="00E440A7">
      <w:pPr>
        <w:rPr>
          <w:rFonts w:cs="Times New Roman"/>
        </w:rPr>
      </w:pPr>
    </w:p>
    <w:p w:rsidR="003F19F4" w:rsidRPr="00C1693B" w:rsidRDefault="003D4FA5" w:rsidP="00E440A7">
      <w:pPr>
        <w:rPr>
          <w:rFonts w:cs="Times New Roman"/>
        </w:rPr>
      </w:pPr>
      <w:r w:rsidRPr="00C1693B">
        <w:rPr>
          <w:rFonts w:cs="Times New Roman"/>
        </w:rPr>
        <w:t>Per quanto riguarda gli investimenti, il progetto di maggior rilievo è quello che riguarda la zona del Lago d’</w:t>
      </w:r>
      <w:r w:rsidR="003B5EEB" w:rsidRPr="00C1693B">
        <w:rPr>
          <w:rFonts w:cs="Times New Roman"/>
        </w:rPr>
        <w:t>Aral. Un consorzio formato da Lukoil</w:t>
      </w:r>
      <w:r w:rsidR="00A008EF" w:rsidRPr="00C1693B">
        <w:rPr>
          <w:rFonts w:cs="Times New Roman"/>
        </w:rPr>
        <w:t xml:space="preserve"> </w:t>
      </w:r>
      <w:r w:rsidR="003B5EEB" w:rsidRPr="00C1693B">
        <w:rPr>
          <w:rFonts w:cs="Times New Roman"/>
        </w:rPr>
        <w:t>(20%), Uzbekneftegaz</w:t>
      </w:r>
      <w:r w:rsidR="00A008EF" w:rsidRPr="00C1693B">
        <w:rPr>
          <w:rFonts w:cs="Times New Roman"/>
        </w:rPr>
        <w:t xml:space="preserve"> </w:t>
      </w:r>
      <w:r w:rsidR="003B5EEB" w:rsidRPr="00C1693B">
        <w:rPr>
          <w:rFonts w:cs="Times New Roman"/>
        </w:rPr>
        <w:t>(20%), Petronas</w:t>
      </w:r>
      <w:r w:rsidR="00A008EF" w:rsidRPr="00C1693B">
        <w:rPr>
          <w:rFonts w:cs="Times New Roman"/>
        </w:rPr>
        <w:t xml:space="preserve"> </w:t>
      </w:r>
      <w:r w:rsidR="003B5EEB" w:rsidRPr="00C1693B">
        <w:rPr>
          <w:rFonts w:cs="Times New Roman"/>
        </w:rPr>
        <w:t>(20%), CNPC</w:t>
      </w:r>
      <w:r w:rsidR="00A008EF" w:rsidRPr="00C1693B">
        <w:rPr>
          <w:rFonts w:cs="Times New Roman"/>
        </w:rPr>
        <w:t xml:space="preserve"> </w:t>
      </w:r>
      <w:r w:rsidR="003B5EEB" w:rsidRPr="00C1693B">
        <w:rPr>
          <w:rFonts w:cs="Times New Roman"/>
        </w:rPr>
        <w:t>(20%) e dalla Korean National Oil Corporation</w:t>
      </w:r>
      <w:r w:rsidR="00A008EF" w:rsidRPr="00C1693B">
        <w:rPr>
          <w:rFonts w:cs="Times New Roman"/>
        </w:rPr>
        <w:t xml:space="preserve"> “</w:t>
      </w:r>
      <w:r w:rsidR="003B5EEB" w:rsidRPr="00C1693B">
        <w:rPr>
          <w:rFonts w:cs="Times New Roman"/>
        </w:rPr>
        <w:t>KNOC</w:t>
      </w:r>
      <w:r w:rsidR="00A008EF" w:rsidRPr="00C1693B">
        <w:rPr>
          <w:rFonts w:cs="Times New Roman"/>
        </w:rPr>
        <w:t xml:space="preserve">” </w:t>
      </w:r>
      <w:r w:rsidR="003B5EEB" w:rsidRPr="00C1693B">
        <w:rPr>
          <w:rFonts w:cs="Times New Roman"/>
        </w:rPr>
        <w:t>(20%)</w:t>
      </w:r>
      <w:r w:rsidR="00A008EF" w:rsidRPr="00C1693B">
        <w:rPr>
          <w:rFonts w:cs="Times New Roman"/>
        </w:rPr>
        <w:t>,</w:t>
      </w:r>
      <w:r w:rsidR="003B5EEB" w:rsidRPr="00C1693B">
        <w:rPr>
          <w:rFonts w:cs="Times New Roman"/>
        </w:rPr>
        <w:t xml:space="preserve"> ha siglato un contratto per l’esplorazione e la produzione di petrolio e gas naturale nel bacino dell’Aral</w:t>
      </w:r>
      <w:r w:rsidR="003F19F4" w:rsidRPr="00C1693B">
        <w:rPr>
          <w:rFonts w:cs="Times New Roman"/>
        </w:rPr>
        <w:t>, dove nel 2010 si sono avuti i primi risultati.</w:t>
      </w:r>
      <w:r w:rsidR="00435A67" w:rsidRPr="00C1693B">
        <w:rPr>
          <w:rFonts w:cs="Times New Roman"/>
        </w:rPr>
        <w:t xml:space="preserve"> Tuttavia, le quantità </w:t>
      </w:r>
      <w:r w:rsidR="00A008EF" w:rsidRPr="00C1693B">
        <w:rPr>
          <w:rFonts w:cs="Times New Roman"/>
        </w:rPr>
        <w:t>d’</w:t>
      </w:r>
      <w:r w:rsidR="00435A67" w:rsidRPr="00C1693B">
        <w:rPr>
          <w:rFonts w:cs="Times New Roman"/>
        </w:rPr>
        <w:t xml:space="preserve">idrocarburi paventate dal </w:t>
      </w:r>
      <w:r w:rsidR="00A008EF" w:rsidRPr="00C1693B">
        <w:rPr>
          <w:rFonts w:cs="Times New Roman"/>
        </w:rPr>
        <w:t>G</w:t>
      </w:r>
      <w:r w:rsidR="00435A67" w:rsidRPr="00C1693B">
        <w:rPr>
          <w:rFonts w:cs="Times New Roman"/>
        </w:rPr>
        <w:t>overno di Tashkent sembrano essere una sovrastima, e molto probabilmente si dovrà ridimensionare l’importanza della zona per la produzione futura.</w:t>
      </w:r>
    </w:p>
    <w:p w:rsidR="0092402C" w:rsidRPr="00C1693B" w:rsidRDefault="003F19F4" w:rsidP="00E440A7">
      <w:pPr>
        <w:rPr>
          <w:rFonts w:cs="Times New Roman"/>
        </w:rPr>
      </w:pPr>
      <w:r w:rsidRPr="00C1693B">
        <w:rPr>
          <w:rFonts w:cs="Times New Roman"/>
        </w:rPr>
        <w:t>La CNPC e l’Uzbekneftegaz hanno nel 2008 siglato anche una joint venture per lo sfruttamento del giacimento petrolifero di Mingbulak, situato nel</w:t>
      </w:r>
      <w:r w:rsidR="00E73F48" w:rsidRPr="00C1693B">
        <w:rPr>
          <w:rFonts w:cs="Times New Roman"/>
        </w:rPr>
        <w:t>la</w:t>
      </w:r>
      <w:r w:rsidRPr="00C1693B">
        <w:rPr>
          <w:rFonts w:cs="Times New Roman"/>
        </w:rPr>
        <w:t xml:space="preserve"> parte settentrionale della valle di Ferghana.</w:t>
      </w:r>
    </w:p>
    <w:p w:rsidR="0092402C" w:rsidRPr="00C1693B" w:rsidRDefault="0092402C" w:rsidP="00E440A7">
      <w:pPr>
        <w:rPr>
          <w:rFonts w:cs="Times New Roman"/>
        </w:rPr>
      </w:pPr>
    </w:p>
    <w:p w:rsidR="00806353" w:rsidRPr="00C1693B" w:rsidRDefault="005C5A4F" w:rsidP="00E440A7">
      <w:pPr>
        <w:rPr>
          <w:rFonts w:cs="Times New Roman"/>
        </w:rPr>
      </w:pPr>
      <w:r w:rsidRPr="00C1693B">
        <w:rPr>
          <w:rFonts w:cs="Times New Roman"/>
        </w:rPr>
        <w:t>L</w:t>
      </w:r>
      <w:r w:rsidR="0092402C" w:rsidRPr="00C1693B">
        <w:rPr>
          <w:rFonts w:cs="Times New Roman"/>
        </w:rPr>
        <w:t xml:space="preserve">’unico collegamento internazionale è rappresentato dall’oleodottto che unisce la raffineria di Chardzhou in Turkemenistan all’impianto di Shymkent in </w:t>
      </w:r>
      <w:r w:rsidR="006D1BCC" w:rsidRPr="00C1693B">
        <w:rPr>
          <w:rFonts w:cs="Times New Roman"/>
        </w:rPr>
        <w:t xml:space="preserve">Kazakhistan e da lì prosegue fino a Omsk, in Siberia. Una bretella più piccola raccorda Shymkent con Tashkent e dal 2004 </w:t>
      </w:r>
      <w:r w:rsidR="00A008EF" w:rsidRPr="00C1693B">
        <w:rPr>
          <w:rFonts w:cs="Times New Roman"/>
        </w:rPr>
        <w:t>è</w:t>
      </w:r>
      <w:r w:rsidR="006D1BCC" w:rsidRPr="00C1693B">
        <w:rPr>
          <w:rFonts w:cs="Times New Roman"/>
        </w:rPr>
        <w:t xml:space="preserve"> usata per le importazioni. Quindi, attualmente il flusso di pe</w:t>
      </w:r>
      <w:r w:rsidR="007C0BD7" w:rsidRPr="00C1693B">
        <w:rPr>
          <w:rFonts w:cs="Times New Roman"/>
        </w:rPr>
        <w:t>trolio scorre vero l’Uzbekistan: u</w:t>
      </w:r>
      <w:r w:rsidR="006D1BCC" w:rsidRPr="00C1693B">
        <w:rPr>
          <w:rFonts w:cs="Times New Roman"/>
        </w:rPr>
        <w:t xml:space="preserve">n eventuale cambio di tendenza che valorizzasse le risorse uzbeke, rendendo il </w:t>
      </w:r>
      <w:r w:rsidR="00A008EF" w:rsidRPr="00C1693B">
        <w:rPr>
          <w:rFonts w:cs="Times New Roman"/>
        </w:rPr>
        <w:t>P</w:t>
      </w:r>
      <w:r w:rsidR="006D1BCC" w:rsidRPr="00C1693B">
        <w:rPr>
          <w:rFonts w:cs="Times New Roman"/>
        </w:rPr>
        <w:t>aese un esportatore, costringerebbe, in assenza di nuove infrastrutture, ad invertire il flusso dell’oleodotto verso Omsk.</w:t>
      </w:r>
      <w:r w:rsidR="007867BD" w:rsidRPr="00C1693B">
        <w:rPr>
          <w:rFonts w:cs="Times New Roman"/>
        </w:rPr>
        <w:t xml:space="preserve"> Tuttavia, stando alla situazione produttiva attuale, l’ipotesi di </w:t>
      </w:r>
      <w:r w:rsidR="00A008EF" w:rsidRPr="00C1693B">
        <w:rPr>
          <w:rFonts w:cs="Times New Roman"/>
        </w:rPr>
        <w:t>un’</w:t>
      </w:r>
      <w:r w:rsidR="007867BD" w:rsidRPr="00C1693B">
        <w:rPr>
          <w:rFonts w:cs="Times New Roman"/>
        </w:rPr>
        <w:t xml:space="preserve">inversione dei flussi appare alquanto remota. Anche alla luce del fatto che l’Uzbekistan, unico tra tutti </w:t>
      </w:r>
      <w:r w:rsidR="00A008EF" w:rsidRPr="00C1693B">
        <w:rPr>
          <w:rFonts w:cs="Times New Roman"/>
        </w:rPr>
        <w:t>P</w:t>
      </w:r>
      <w:r w:rsidR="007867BD" w:rsidRPr="00C1693B">
        <w:rPr>
          <w:rFonts w:cs="Times New Roman"/>
        </w:rPr>
        <w:t xml:space="preserve">aesi dell’Asia centrale, ha fatto registrare negli ultimi anni un calo della produzione, </w:t>
      </w:r>
      <w:r w:rsidR="004D3CF0" w:rsidRPr="00C1693B">
        <w:rPr>
          <w:rFonts w:cs="Times New Roman"/>
        </w:rPr>
        <w:t xml:space="preserve">in netta controtendenza con i </w:t>
      </w:r>
      <w:r w:rsidR="00A008EF" w:rsidRPr="00C1693B">
        <w:rPr>
          <w:rFonts w:cs="Times New Roman"/>
        </w:rPr>
        <w:t>P</w:t>
      </w:r>
      <w:r w:rsidR="004D3CF0" w:rsidRPr="00C1693B">
        <w:rPr>
          <w:rFonts w:cs="Times New Roman"/>
        </w:rPr>
        <w:t xml:space="preserve">aesi limitrofi, il cui andamento va invece nella direzione opposta. </w:t>
      </w:r>
    </w:p>
    <w:p w:rsidR="00452B3A" w:rsidRPr="00C1693B" w:rsidRDefault="00806353" w:rsidP="00E440A7">
      <w:pPr>
        <w:pStyle w:val="Titolo2"/>
        <w:spacing w:before="0"/>
        <w:rPr>
          <w:rFonts w:ascii="Times New Roman" w:hAnsi="Times New Roman" w:cs="Times New Roman"/>
          <w:sz w:val="24"/>
          <w:szCs w:val="24"/>
        </w:rPr>
      </w:pPr>
      <w:r w:rsidRPr="00C1693B">
        <w:rPr>
          <w:rFonts w:ascii="Times New Roman" w:hAnsi="Times New Roman" w:cs="Times New Roman"/>
          <w:noProof/>
          <w:sz w:val="24"/>
          <w:szCs w:val="24"/>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-1143000</wp:posOffset>
            </wp:positionV>
            <wp:extent cx="5257165" cy="3656330"/>
            <wp:effectExtent l="25400" t="0" r="635" b="0"/>
            <wp:wrapTight wrapText="bothSides">
              <wp:wrapPolygon edited="0">
                <wp:start x="-104" y="0"/>
                <wp:lineTo x="-104" y="21457"/>
                <wp:lineTo x="21603" y="21457"/>
                <wp:lineTo x="21603" y="0"/>
                <wp:lineTo x="-104" y="0"/>
              </wp:wrapPolygon>
            </wp:wrapTight>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257165" cy="3656330"/>
                    </a:xfrm>
                    <a:prstGeom prst="rect">
                      <a:avLst/>
                    </a:prstGeom>
                    <a:noFill/>
                    <a:ln w="9525">
                      <a:noFill/>
                      <a:miter lim="800000"/>
                      <a:headEnd/>
                      <a:tailEnd/>
                    </a:ln>
                  </pic:spPr>
                </pic:pic>
              </a:graphicData>
            </a:graphic>
          </wp:anchor>
        </w:drawing>
      </w:r>
    </w:p>
    <w:p w:rsidR="00C86F18" w:rsidRPr="00C1693B" w:rsidRDefault="00022FFC" w:rsidP="00E440A7">
      <w:pPr>
        <w:pStyle w:val="Titolo2"/>
        <w:spacing w:before="0"/>
        <w:rPr>
          <w:rFonts w:ascii="Times New Roman" w:hAnsi="Times New Roman" w:cs="Times New Roman"/>
          <w:sz w:val="24"/>
          <w:szCs w:val="24"/>
        </w:rPr>
      </w:pPr>
      <w:r w:rsidRPr="00C1693B">
        <w:rPr>
          <w:rFonts w:ascii="Times New Roman" w:hAnsi="Times New Roman" w:cs="Times New Roman"/>
          <w:i/>
          <w:sz w:val="24"/>
          <w:szCs w:val="24"/>
        </w:rPr>
        <w:t>Gas</w:t>
      </w:r>
    </w:p>
    <w:p w:rsidR="004C2567" w:rsidRPr="00C1693B" w:rsidRDefault="00C86F18" w:rsidP="00E440A7">
      <w:pPr>
        <w:rPr>
          <w:rFonts w:cs="Times New Roman"/>
        </w:rPr>
      </w:pPr>
      <w:r w:rsidRPr="00C1693B">
        <w:rPr>
          <w:rFonts w:cs="Times New Roman"/>
        </w:rPr>
        <w:t>Il settore di maggiore attività e potenzialità è sicuramente quello del gas naturale. Di 232 depositi di idrocarburi</w:t>
      </w:r>
      <w:r w:rsidR="00B70888" w:rsidRPr="00C1693B">
        <w:rPr>
          <w:rFonts w:cs="Times New Roman"/>
        </w:rPr>
        <w:t xml:space="preserve"> in territorio uzbeko</w:t>
      </w:r>
      <w:r w:rsidRPr="00C1693B">
        <w:rPr>
          <w:rFonts w:cs="Times New Roman"/>
        </w:rPr>
        <w:t xml:space="preserve"> 183 sono di metano</w:t>
      </w:r>
      <w:r w:rsidR="00B70888" w:rsidRPr="00C1693B">
        <w:rPr>
          <w:rFonts w:cs="Times New Roman"/>
        </w:rPr>
        <w:t>,</w:t>
      </w:r>
      <w:r w:rsidRPr="00C1693B">
        <w:rPr>
          <w:rFonts w:cs="Times New Roman"/>
        </w:rPr>
        <w:t xml:space="preserve"> con riserve stimate a 1870 miliardi di m</w:t>
      </w:r>
      <w:r w:rsidRPr="00C1693B">
        <w:rPr>
          <w:rFonts w:cs="Times New Roman"/>
          <w:vertAlign w:val="superscript"/>
        </w:rPr>
        <w:t>3</w:t>
      </w:r>
      <w:r w:rsidRPr="00C1693B">
        <w:rPr>
          <w:rFonts w:cs="Times New Roman"/>
        </w:rPr>
        <w:t>. Nel 2011 sono stati estratti 67 miliardi di m</w:t>
      </w:r>
      <w:r w:rsidRPr="00C1693B">
        <w:rPr>
          <w:rFonts w:cs="Times New Roman"/>
          <w:vertAlign w:val="superscript"/>
        </w:rPr>
        <w:t>3</w:t>
      </w:r>
      <w:r w:rsidRPr="00C1693B">
        <w:rPr>
          <w:rFonts w:cs="Times New Roman"/>
        </w:rPr>
        <w:t>, tuttavia si è registrato un calo rispetto agli anni precedenti, dovuto alla tecnologia estrattiva ormai obsoleta.</w:t>
      </w:r>
      <w:r w:rsidR="00B70888" w:rsidRPr="00C1693B">
        <w:rPr>
          <w:rFonts w:cs="Times New Roman"/>
        </w:rPr>
        <w:t xml:space="preserve"> </w:t>
      </w:r>
      <w:r w:rsidR="00A008EF" w:rsidRPr="00C1693B">
        <w:rPr>
          <w:rFonts w:cs="Times New Roman"/>
        </w:rPr>
        <w:t>L</w:t>
      </w:r>
      <w:r w:rsidR="00B70888" w:rsidRPr="00C1693B">
        <w:rPr>
          <w:rFonts w:cs="Times New Roman"/>
        </w:rPr>
        <w:t xml:space="preserve">a domanda di gas del mercato interno è molto alta, e </w:t>
      </w:r>
      <w:r w:rsidR="005C5A4F" w:rsidRPr="00C1693B">
        <w:rPr>
          <w:rFonts w:cs="Times New Roman"/>
        </w:rPr>
        <w:t>al momento</w:t>
      </w:r>
      <w:r w:rsidR="00B70888" w:rsidRPr="00C1693B">
        <w:rPr>
          <w:rFonts w:cs="Times New Roman"/>
        </w:rPr>
        <w:t xml:space="preserve"> il </w:t>
      </w:r>
      <w:r w:rsidR="00A008EF" w:rsidRPr="00C1693B">
        <w:rPr>
          <w:rFonts w:cs="Times New Roman"/>
        </w:rPr>
        <w:t>P</w:t>
      </w:r>
      <w:r w:rsidR="00B70888" w:rsidRPr="00C1693B">
        <w:rPr>
          <w:rFonts w:cs="Times New Roman"/>
        </w:rPr>
        <w:t xml:space="preserve">aese ha una capacità </w:t>
      </w:r>
      <w:r w:rsidR="000843E3" w:rsidRPr="00C1693B">
        <w:rPr>
          <w:rFonts w:cs="Times New Roman"/>
        </w:rPr>
        <w:t>d’esportazione</w:t>
      </w:r>
      <w:r w:rsidR="00B70888" w:rsidRPr="00C1693B">
        <w:rPr>
          <w:rFonts w:cs="Times New Roman"/>
        </w:rPr>
        <w:t xml:space="preserve"> che sia aggira intorno al 20% della produzione. Entro il 2020 le </w:t>
      </w:r>
      <w:r w:rsidR="00A008EF" w:rsidRPr="00C1693B">
        <w:rPr>
          <w:rFonts w:cs="Times New Roman"/>
        </w:rPr>
        <w:t>A</w:t>
      </w:r>
      <w:r w:rsidR="00B70888" w:rsidRPr="00C1693B">
        <w:rPr>
          <w:rFonts w:cs="Times New Roman"/>
        </w:rPr>
        <w:t>utorità vorrebbero raddoppiare la percentuale, aumentando i flussi di export fino a 30 miliardi di m</w:t>
      </w:r>
      <w:r w:rsidR="00B70888" w:rsidRPr="00C1693B">
        <w:rPr>
          <w:rFonts w:cs="Times New Roman"/>
          <w:vertAlign w:val="superscript"/>
        </w:rPr>
        <w:t>3</w:t>
      </w:r>
      <w:r w:rsidR="00B70888" w:rsidRPr="00C1693B">
        <w:rPr>
          <w:rFonts w:cs="Times New Roman"/>
        </w:rPr>
        <w:t xml:space="preserve">. </w:t>
      </w:r>
      <w:r w:rsidR="00935FC3" w:rsidRPr="00C1693B">
        <w:rPr>
          <w:rFonts w:cs="Times New Roman"/>
        </w:rPr>
        <w:t>Quest’</w:t>
      </w:r>
      <w:r w:rsidR="00C06F4A" w:rsidRPr="00C1693B">
        <w:rPr>
          <w:rFonts w:cs="Times New Roman"/>
        </w:rPr>
        <w:t>obiettivo</w:t>
      </w:r>
      <w:r w:rsidR="00B70888" w:rsidRPr="00C1693B">
        <w:rPr>
          <w:rFonts w:cs="Times New Roman"/>
        </w:rPr>
        <w:t xml:space="preserve"> deve comunque fare i conti con l’industrializzazione crescente, e con l’esito degli investimenti in materia di risparmio energetico, efficienza,</w:t>
      </w:r>
      <w:r w:rsidR="000843E3" w:rsidRPr="00C1693B">
        <w:rPr>
          <w:rFonts w:cs="Times New Roman"/>
        </w:rPr>
        <w:t xml:space="preserve"> diversific</w:t>
      </w:r>
      <w:r w:rsidR="00935FC3" w:rsidRPr="00C1693B">
        <w:rPr>
          <w:rFonts w:cs="Times New Roman"/>
        </w:rPr>
        <w:t>azione delle fonti, e con</w:t>
      </w:r>
      <w:r w:rsidR="000843E3" w:rsidRPr="00C1693B">
        <w:rPr>
          <w:rFonts w:cs="Times New Roman"/>
        </w:rPr>
        <w:t xml:space="preserve"> l’accesso a nuovi mercati.</w:t>
      </w:r>
    </w:p>
    <w:p w:rsidR="004C2567" w:rsidRPr="00C1693B" w:rsidRDefault="004C2567" w:rsidP="00E440A7">
      <w:pPr>
        <w:rPr>
          <w:rFonts w:cs="Times New Roman"/>
        </w:rPr>
      </w:pPr>
    </w:p>
    <w:p w:rsidR="002E4117" w:rsidRPr="00C1693B" w:rsidRDefault="004C2567" w:rsidP="00E440A7">
      <w:pPr>
        <w:rPr>
          <w:rFonts w:cs="Times New Roman"/>
        </w:rPr>
      </w:pPr>
      <w:r w:rsidRPr="00C1693B">
        <w:rPr>
          <w:rFonts w:cs="Times New Roman"/>
        </w:rPr>
        <w:t>Per quanto concerne l’esplorazione e la produzi</w:t>
      </w:r>
      <w:r w:rsidR="00AA2006" w:rsidRPr="00C1693B">
        <w:rPr>
          <w:rFonts w:cs="Times New Roman"/>
        </w:rPr>
        <w:t>one, oltre alla Uzbekneftegaz che</w:t>
      </w:r>
      <w:r w:rsidRPr="00C1693B">
        <w:rPr>
          <w:rFonts w:cs="Times New Roman"/>
        </w:rPr>
        <w:t xml:space="preserve"> ha una capacità estrattiva di 70 miliardi di m</w:t>
      </w:r>
      <w:r w:rsidRPr="00C1693B">
        <w:rPr>
          <w:rFonts w:cs="Times New Roman"/>
          <w:vertAlign w:val="superscript"/>
        </w:rPr>
        <w:t>3</w:t>
      </w:r>
      <w:r w:rsidRPr="00C1693B">
        <w:rPr>
          <w:rFonts w:cs="Times New Roman"/>
        </w:rPr>
        <w:t xml:space="preserve"> all’anno</w:t>
      </w:r>
      <w:r w:rsidR="00A008EF" w:rsidRPr="00C1693B">
        <w:rPr>
          <w:rFonts w:cs="Times New Roman"/>
        </w:rPr>
        <w:t>, s</w:t>
      </w:r>
      <w:r w:rsidRPr="00C1693B">
        <w:rPr>
          <w:rFonts w:cs="Times New Roman"/>
        </w:rPr>
        <w:t>ono presenti sul territo</w:t>
      </w:r>
      <w:r w:rsidR="00AA2006" w:rsidRPr="00C1693B">
        <w:rPr>
          <w:rFonts w:cs="Times New Roman"/>
        </w:rPr>
        <w:t>rio anche</w:t>
      </w:r>
      <w:r w:rsidR="00B146D8" w:rsidRPr="00C1693B">
        <w:rPr>
          <w:rFonts w:cs="Times New Roman"/>
        </w:rPr>
        <w:t xml:space="preserve"> Lukoil e Gazprom. Lukoil nel 2004 ha siglato un contratto</w:t>
      </w:r>
      <w:r w:rsidR="00AA2006" w:rsidRPr="00C1693B">
        <w:rPr>
          <w:rFonts w:cs="Times New Roman"/>
        </w:rPr>
        <w:t xml:space="preserve"> sino al 2039</w:t>
      </w:r>
      <w:r w:rsidR="00B146D8" w:rsidRPr="00C1693B">
        <w:rPr>
          <w:rFonts w:cs="Times New Roman"/>
        </w:rPr>
        <w:t xml:space="preserve"> </w:t>
      </w:r>
      <w:r w:rsidR="00AA2006" w:rsidRPr="00C1693B">
        <w:rPr>
          <w:rFonts w:cs="Times New Roman"/>
        </w:rPr>
        <w:t xml:space="preserve">assieme ad Uzbekneftegaz (10%) </w:t>
      </w:r>
      <w:r w:rsidR="00B146D8" w:rsidRPr="00C1693B">
        <w:rPr>
          <w:rFonts w:cs="Times New Roman"/>
        </w:rPr>
        <w:t xml:space="preserve">di esplorazione e produzione nei giacimenti di Kandym, Khauzak, </w:t>
      </w:r>
      <w:r w:rsidR="00AA2006" w:rsidRPr="00C1693B">
        <w:rPr>
          <w:rFonts w:cs="Times New Roman"/>
        </w:rPr>
        <w:t xml:space="preserve">Shady e Kungrad nella zona occidentale del </w:t>
      </w:r>
      <w:r w:rsidR="00A008EF" w:rsidRPr="00C1693B">
        <w:rPr>
          <w:rFonts w:cs="Times New Roman"/>
        </w:rPr>
        <w:t>P</w:t>
      </w:r>
      <w:r w:rsidR="00AA2006" w:rsidRPr="00C1693B">
        <w:rPr>
          <w:rFonts w:cs="Times New Roman"/>
        </w:rPr>
        <w:t xml:space="preserve">aese. </w:t>
      </w:r>
      <w:r w:rsidR="002E4117" w:rsidRPr="00C1693B">
        <w:rPr>
          <w:rFonts w:cs="Times New Roman"/>
        </w:rPr>
        <w:t>Oltre che in queste zone è presente anche nel Gissar sudoccidentale e nella zona di Ustyurt, nonché nel consorzio che si occupa delle trivellazioni geognostiche  nel lago d’Aral.</w:t>
      </w:r>
    </w:p>
    <w:p w:rsidR="0070223F" w:rsidRPr="00C1693B" w:rsidRDefault="002E4117" w:rsidP="00E440A7">
      <w:pPr>
        <w:rPr>
          <w:rFonts w:cs="Times New Roman"/>
        </w:rPr>
      </w:pPr>
      <w:r w:rsidRPr="00C1693B">
        <w:rPr>
          <w:rFonts w:cs="Times New Roman"/>
        </w:rPr>
        <w:t xml:space="preserve">Con la Gazprom, nel 2002 è stato raggiunto un accordo di cooperazione strategica che prevede l’acquisto del gas uzbeko nel lungo periodo, oltre alla partecipazione del colosso russo in fase produttiva ed esplorativa. </w:t>
      </w:r>
      <w:r w:rsidR="0070223F" w:rsidRPr="00C1693B">
        <w:rPr>
          <w:rFonts w:cs="Times New Roman"/>
        </w:rPr>
        <w:t>Attalmente sono in vigore due contratti di produzione condivisa in due giacimenti dell’Uzbekistan nordoccidentale.</w:t>
      </w:r>
    </w:p>
    <w:p w:rsidR="004C58FA" w:rsidRPr="00C1693B" w:rsidRDefault="004C58FA" w:rsidP="00E440A7">
      <w:pPr>
        <w:rPr>
          <w:rFonts w:cs="Times New Roman"/>
        </w:rPr>
      </w:pPr>
    </w:p>
    <w:p w:rsidR="00115952" w:rsidRPr="00C1693B" w:rsidRDefault="004C58FA" w:rsidP="00E440A7">
      <w:pPr>
        <w:rPr>
          <w:rFonts w:cs="Times New Roman"/>
          <w:color w:val="262626"/>
        </w:rPr>
      </w:pPr>
      <w:r w:rsidRPr="00C1693B">
        <w:rPr>
          <w:rFonts w:cs="Times New Roman"/>
        </w:rPr>
        <w:t xml:space="preserve">Le operazioni di </w:t>
      </w:r>
      <w:r w:rsidRPr="00C1693B">
        <w:rPr>
          <w:rFonts w:cs="Times New Roman"/>
          <w:i/>
        </w:rPr>
        <w:t xml:space="preserve">downstream </w:t>
      </w:r>
      <w:r w:rsidRPr="00C1693B">
        <w:rPr>
          <w:rFonts w:cs="Times New Roman"/>
        </w:rPr>
        <w:t>son</w:t>
      </w:r>
      <w:r w:rsidR="00004F11" w:rsidRPr="00C1693B">
        <w:rPr>
          <w:rFonts w:cs="Times New Roman"/>
        </w:rPr>
        <w:t>o effettuate in tre stabilimenti</w:t>
      </w:r>
      <w:r w:rsidR="00043401" w:rsidRPr="00C1693B">
        <w:rPr>
          <w:rFonts w:cs="Times New Roman"/>
        </w:rPr>
        <w:t xml:space="preserve"> di proprietà della Uzneftegazdobycha, controllata da Uzbekneftegaz. </w:t>
      </w:r>
      <w:r w:rsidR="00004F11" w:rsidRPr="00C1693B">
        <w:rPr>
          <w:rFonts w:cs="Times New Roman"/>
        </w:rPr>
        <w:t xml:space="preserve">L’impianto di Mubarek, tratta circa </w:t>
      </w:r>
      <w:r w:rsidR="00A008EF" w:rsidRPr="00C1693B">
        <w:rPr>
          <w:rFonts w:cs="Times New Roman"/>
        </w:rPr>
        <w:t>trenta</w:t>
      </w:r>
      <w:r w:rsidR="00004F11" w:rsidRPr="00C1693B">
        <w:rPr>
          <w:rFonts w:cs="Times New Roman"/>
        </w:rPr>
        <w:t xml:space="preserve"> miliardi di m</w:t>
      </w:r>
      <w:r w:rsidR="00004F11" w:rsidRPr="00C1693B">
        <w:rPr>
          <w:rFonts w:cs="Times New Roman"/>
          <w:vertAlign w:val="superscript"/>
        </w:rPr>
        <w:t xml:space="preserve">3 </w:t>
      </w:r>
      <w:r w:rsidR="00004F11" w:rsidRPr="00C1693B">
        <w:rPr>
          <w:rFonts w:cs="Times New Roman"/>
        </w:rPr>
        <w:t>all’anno</w:t>
      </w:r>
      <w:r w:rsidR="00171988" w:rsidRPr="00C1693B">
        <w:rPr>
          <w:rFonts w:cs="Times New Roman"/>
        </w:rPr>
        <w:t>, mentre quello di Shurtan GPP ha una capacità di 20 miliardi di m</w:t>
      </w:r>
      <w:r w:rsidR="00171988" w:rsidRPr="00C1693B">
        <w:rPr>
          <w:rFonts w:cs="Times New Roman"/>
          <w:vertAlign w:val="superscript"/>
        </w:rPr>
        <w:t>3.</w:t>
      </w:r>
      <w:r w:rsidR="00171988" w:rsidRPr="00C1693B">
        <w:rPr>
          <w:rFonts w:cs="Times New Roman"/>
        </w:rPr>
        <w:t>. Infine l’’impianto chimico e per la raffinazione del gas di Shurtan si trova nella zona desertica presso Karshi e ha una capacità di 3,9 milardi di m</w:t>
      </w:r>
      <w:r w:rsidR="00171988" w:rsidRPr="00C1693B">
        <w:rPr>
          <w:rFonts w:cs="Times New Roman"/>
          <w:vertAlign w:val="superscript"/>
        </w:rPr>
        <w:t>3</w:t>
      </w:r>
      <w:r w:rsidR="00115952" w:rsidRPr="00C1693B">
        <w:rPr>
          <w:rFonts w:cs="Times New Roman"/>
        </w:rPr>
        <w:t>. I prodotti raffinati (gas</w:t>
      </w:r>
      <w:r w:rsidR="00171988" w:rsidRPr="00C1693B">
        <w:rPr>
          <w:rFonts w:cs="Times New Roman"/>
        </w:rPr>
        <w:t xml:space="preserve"> liquefatto, gas condensato, polietilene,</w:t>
      </w:r>
      <w:r w:rsidR="00115952" w:rsidRPr="00C1693B">
        <w:rPr>
          <w:rFonts w:cs="Times New Roman"/>
        </w:rPr>
        <w:t xml:space="preserve"> gas di zolfo), </w:t>
      </w:r>
      <w:r w:rsidR="00A008EF" w:rsidRPr="00C1693B">
        <w:rPr>
          <w:rFonts w:cs="Times New Roman"/>
        </w:rPr>
        <w:t>sono</w:t>
      </w:r>
      <w:r w:rsidR="00115952" w:rsidRPr="00C1693B">
        <w:rPr>
          <w:rFonts w:cs="Times New Roman"/>
        </w:rPr>
        <w:t xml:space="preserve"> destinati sai al mercato interno che estero. </w:t>
      </w:r>
      <w:r w:rsidR="00115952" w:rsidRPr="00C1693B">
        <w:rPr>
          <w:rFonts w:cs="Times New Roman"/>
          <w:color w:val="262626"/>
        </w:rPr>
        <w:t xml:space="preserve">Quasi il 50% del polietilene prodotto è destinato all'esportazione in vari paesi: Europa (Italia, Paesi Bassi, Polonia, Ungheria, Lituania, Lettonia, Turchia), Asia (Iran, Pakistan, Cina), CSI (Russia, Ucraina, Kazakistan, Azerbaigian, Kirghizistan, Tagikistan). </w:t>
      </w:r>
    </w:p>
    <w:p w:rsidR="002F6A13" w:rsidRPr="00C1693B" w:rsidRDefault="0070223F" w:rsidP="00E440A7">
      <w:pPr>
        <w:rPr>
          <w:rFonts w:cs="Times New Roman"/>
        </w:rPr>
      </w:pPr>
      <w:r w:rsidRPr="00C1693B">
        <w:rPr>
          <w:rFonts w:cs="Times New Roman"/>
        </w:rPr>
        <w:t>La necessità di aum</w:t>
      </w:r>
      <w:r w:rsidR="002F6A13" w:rsidRPr="00C1693B">
        <w:rPr>
          <w:rFonts w:cs="Times New Roman"/>
        </w:rPr>
        <w:t>entare i livelli di gas raffinato</w:t>
      </w:r>
      <w:r w:rsidRPr="00C1693B">
        <w:rPr>
          <w:rFonts w:cs="Times New Roman"/>
        </w:rPr>
        <w:t>, soprattutto diretto ai più r</w:t>
      </w:r>
      <w:r w:rsidR="005C5A4F" w:rsidRPr="00C1693B">
        <w:rPr>
          <w:rFonts w:cs="Times New Roman"/>
        </w:rPr>
        <w:t>edditizi mercati esteri, impone</w:t>
      </w:r>
      <w:r w:rsidRPr="00C1693B">
        <w:rPr>
          <w:rFonts w:cs="Times New Roman"/>
        </w:rPr>
        <w:t>, alla luce delle car</w:t>
      </w:r>
      <w:r w:rsidR="005C5A4F" w:rsidRPr="00C1693B">
        <w:rPr>
          <w:rFonts w:cs="Times New Roman"/>
        </w:rPr>
        <w:t>enze del sistema produttivo, un’</w:t>
      </w:r>
      <w:r w:rsidRPr="00C1693B">
        <w:rPr>
          <w:rFonts w:cs="Times New Roman"/>
        </w:rPr>
        <w:t xml:space="preserve"> ingente campagna di investimenti, che oltre ai già citati partner russi, vede la presenza di numerose compagnie asiatiche:</w:t>
      </w:r>
    </w:p>
    <w:p w:rsidR="0070223F" w:rsidRPr="00C1693B" w:rsidRDefault="0070223F" w:rsidP="00E440A7">
      <w:pPr>
        <w:rPr>
          <w:rFonts w:cs="Times New Roman"/>
        </w:rPr>
      </w:pPr>
    </w:p>
    <w:p w:rsidR="0070223F" w:rsidRPr="00C1693B" w:rsidRDefault="0070223F" w:rsidP="00E440A7">
      <w:pPr>
        <w:rPr>
          <w:rFonts w:cs="Times New Roman"/>
        </w:rPr>
      </w:pPr>
      <w:r w:rsidRPr="00C1693B">
        <w:rPr>
          <w:rFonts w:cs="Times New Roman"/>
        </w:rPr>
        <w:t>L’Uzbekistan ha siglato con varie compagn</w:t>
      </w:r>
      <w:r w:rsidR="005C5A4F" w:rsidRPr="00C1693B">
        <w:rPr>
          <w:rFonts w:cs="Times New Roman"/>
        </w:rPr>
        <w:t xml:space="preserve">ie sudcoreane, tra le quali la </w:t>
      </w:r>
      <w:r w:rsidRPr="00C1693B">
        <w:rPr>
          <w:rFonts w:cs="Times New Roman"/>
        </w:rPr>
        <w:t>KNOC, un accordo per la c</w:t>
      </w:r>
      <w:r w:rsidR="008950C3" w:rsidRPr="00C1693B">
        <w:rPr>
          <w:rFonts w:cs="Times New Roman"/>
        </w:rPr>
        <w:t>ostruzione di un</w:t>
      </w:r>
      <w:r w:rsidR="00A008EF" w:rsidRPr="00C1693B">
        <w:rPr>
          <w:rFonts w:cs="Times New Roman"/>
        </w:rPr>
        <w:t xml:space="preserve"> </w:t>
      </w:r>
      <w:r w:rsidR="008950C3" w:rsidRPr="00C1693B">
        <w:rPr>
          <w:rFonts w:cs="Times New Roman"/>
        </w:rPr>
        <w:t>complesso di raffinazione del gas nella regione di  Usty</w:t>
      </w:r>
      <w:r w:rsidRPr="00C1693B">
        <w:rPr>
          <w:rFonts w:cs="Times New Roman"/>
        </w:rPr>
        <w:t>urt per il valore di oltre 4 miliardi di dollari.</w:t>
      </w:r>
    </w:p>
    <w:p w:rsidR="008950C3" w:rsidRPr="00C1693B" w:rsidRDefault="00776C8C" w:rsidP="00E440A7">
      <w:pPr>
        <w:rPr>
          <w:rFonts w:cs="Times New Roman"/>
        </w:rPr>
      </w:pPr>
      <w:r w:rsidRPr="00C1693B">
        <w:rPr>
          <w:rFonts w:cs="Times New Roman"/>
        </w:rPr>
        <w:t>Uzbekneftgaz, assieme alla</w:t>
      </w:r>
      <w:r w:rsidR="0070223F" w:rsidRPr="00C1693B">
        <w:rPr>
          <w:rFonts w:cs="Times New Roman"/>
        </w:rPr>
        <w:t xml:space="preserve"> sigaporegna Indorama Group</w:t>
      </w:r>
      <w:r w:rsidRPr="00C1693B">
        <w:rPr>
          <w:rFonts w:cs="Times New Roman"/>
        </w:rPr>
        <w:t>,</w:t>
      </w:r>
      <w:r w:rsidR="0070223F" w:rsidRPr="00C1693B">
        <w:rPr>
          <w:rFonts w:cs="Times New Roman"/>
        </w:rPr>
        <w:t xml:space="preserve"> </w:t>
      </w:r>
      <w:r w:rsidRPr="00C1693B">
        <w:rPr>
          <w:rFonts w:cs="Times New Roman"/>
        </w:rPr>
        <w:t>costruirà</w:t>
      </w:r>
      <w:r w:rsidR="0070223F" w:rsidRPr="00C1693B">
        <w:rPr>
          <w:rFonts w:cs="Times New Roman"/>
        </w:rPr>
        <w:t xml:space="preserve"> un impianto</w:t>
      </w:r>
      <w:r w:rsidR="00115952" w:rsidRPr="00C1693B">
        <w:rPr>
          <w:rFonts w:cs="Times New Roman"/>
        </w:rPr>
        <w:t xml:space="preserve"> chimico, ausiliario alla raffineria di Mubarek,</w:t>
      </w:r>
      <w:r w:rsidR="0070223F" w:rsidRPr="00C1693B">
        <w:rPr>
          <w:rFonts w:cs="Times New Roman"/>
        </w:rPr>
        <w:t xml:space="preserve"> nella regione di Kashkadarja con una capacità </w:t>
      </w:r>
      <w:r w:rsidR="00115952" w:rsidRPr="00C1693B">
        <w:rPr>
          <w:rFonts w:cs="Times New Roman"/>
        </w:rPr>
        <w:t>produttiva di 400.000 t di polietilene all’anno. Il costo del progetto am</w:t>
      </w:r>
      <w:r w:rsidR="005C5A4F" w:rsidRPr="00C1693B">
        <w:rPr>
          <w:rFonts w:cs="Times New Roman"/>
        </w:rPr>
        <w:t>monta a 1,2 miliardi di dollari</w:t>
      </w:r>
      <w:r w:rsidR="00115952" w:rsidRPr="00C1693B">
        <w:rPr>
          <w:rFonts w:cs="Times New Roman"/>
        </w:rPr>
        <w:t xml:space="preserve"> e il finanziamento dovrebbe essere così suddiviso: 600 milioni da Indorama Group, 150 milioni</w:t>
      </w:r>
      <w:r w:rsidR="008950C3" w:rsidRPr="00C1693B">
        <w:rPr>
          <w:rFonts w:cs="Times New Roman"/>
        </w:rPr>
        <w:t xml:space="preserve"> dalla Uzbekneftegaz, e 450 milioni dal Fondo per la Ricostruzione e lo Sviluppo dell’Uzbekistan.</w:t>
      </w:r>
    </w:p>
    <w:p w:rsidR="000843E3" w:rsidRPr="00C1693B" w:rsidRDefault="008950C3" w:rsidP="00E440A7">
      <w:pPr>
        <w:rPr>
          <w:rFonts w:cs="Times New Roman"/>
        </w:rPr>
      </w:pPr>
      <w:r w:rsidRPr="00C1693B">
        <w:rPr>
          <w:rFonts w:cs="Times New Roman"/>
        </w:rPr>
        <w:t>Un consorzio tra Uzbekneftegaz, Sasol (Sudafrica), e Petronas (Malesia)</w:t>
      </w:r>
      <w:r w:rsidR="002F6A13" w:rsidRPr="00C1693B">
        <w:rPr>
          <w:rFonts w:cs="Times New Roman"/>
        </w:rPr>
        <w:t xml:space="preserve"> ha in progetto, nel nord del </w:t>
      </w:r>
      <w:r w:rsidR="00A008EF" w:rsidRPr="00C1693B">
        <w:rPr>
          <w:rFonts w:cs="Times New Roman"/>
        </w:rPr>
        <w:t>P</w:t>
      </w:r>
      <w:r w:rsidR="002F6A13" w:rsidRPr="00C1693B">
        <w:rPr>
          <w:rFonts w:cs="Times New Roman"/>
        </w:rPr>
        <w:t>aese, un impianto GTL (</w:t>
      </w:r>
      <w:r w:rsidR="002F6A13" w:rsidRPr="00C1693B">
        <w:rPr>
          <w:rFonts w:cs="Times New Roman"/>
          <w:i/>
        </w:rPr>
        <w:t>gas to liquid)</w:t>
      </w:r>
      <w:r w:rsidR="002F6A13" w:rsidRPr="00C1693B">
        <w:rPr>
          <w:rFonts w:cs="Times New Roman"/>
        </w:rPr>
        <w:t xml:space="preserve"> per la produzione di carburante diesel, kerosene, nafta e gas liquefatto. Il costo complessivo è di 2,7 miliardi di dollari e nel</w:t>
      </w:r>
      <w:r w:rsidR="00115B03" w:rsidRPr="00C1693B">
        <w:rPr>
          <w:rFonts w:cs="Times New Roman"/>
        </w:rPr>
        <w:t xml:space="preserve"> dicembre 2011</w:t>
      </w:r>
      <w:r w:rsidR="002F6A13" w:rsidRPr="00C1693B">
        <w:rPr>
          <w:rFonts w:cs="Times New Roman"/>
        </w:rPr>
        <w:t xml:space="preserve"> si è unita al progetto la francese Technip,</w:t>
      </w:r>
      <w:r w:rsidR="00115B03" w:rsidRPr="00C1693B">
        <w:rPr>
          <w:rFonts w:cs="Times New Roman"/>
        </w:rPr>
        <w:t xml:space="preserve"> le cui attività preliminari di pianificazione e progettazione saranno portate avanti dal ramo italiano Technip Italy insieme con il supporto della sede di Kuala Lumpur. Altri</w:t>
      </w:r>
      <w:r w:rsidR="002F6A13" w:rsidRPr="00C1693B">
        <w:rPr>
          <w:rFonts w:cs="Times New Roman"/>
        </w:rPr>
        <w:t xml:space="preserve"> contatti</w:t>
      </w:r>
      <w:r w:rsidR="00115B03" w:rsidRPr="00C1693B">
        <w:rPr>
          <w:rFonts w:cs="Times New Roman"/>
        </w:rPr>
        <w:t xml:space="preserve"> in merito al progetto sono stati presi </w:t>
      </w:r>
      <w:r w:rsidR="002F6A13" w:rsidRPr="00C1693B">
        <w:rPr>
          <w:rFonts w:cs="Times New Roman"/>
        </w:rPr>
        <w:t xml:space="preserve"> anche con la CNPC.</w:t>
      </w:r>
    </w:p>
    <w:p w:rsidR="009D7892" w:rsidRPr="00C1693B" w:rsidRDefault="009D7892" w:rsidP="00E440A7">
      <w:pPr>
        <w:rPr>
          <w:rFonts w:cs="Times New Roman"/>
          <w:i/>
        </w:rPr>
      </w:pPr>
    </w:p>
    <w:p w:rsidR="00A008EF" w:rsidRPr="00C1693B" w:rsidRDefault="00A008EF" w:rsidP="00E440A7">
      <w:pPr>
        <w:rPr>
          <w:rFonts w:cs="Times New Roman"/>
          <w:i/>
        </w:rPr>
      </w:pPr>
    </w:p>
    <w:p w:rsidR="00844019" w:rsidRPr="00C1693B" w:rsidRDefault="00314137" w:rsidP="00E440A7">
      <w:pPr>
        <w:pStyle w:val="Titolo3"/>
        <w:spacing w:before="0"/>
        <w:rPr>
          <w:rFonts w:ascii="Times New Roman" w:hAnsi="Times New Roman" w:cs="Times New Roman"/>
        </w:rPr>
      </w:pPr>
      <w:r w:rsidRPr="00C1693B">
        <w:rPr>
          <w:rFonts w:ascii="Times New Roman" w:hAnsi="Times New Roman" w:cs="Times New Roman"/>
        </w:rPr>
        <w:t xml:space="preserve">RETE </w:t>
      </w:r>
      <w:r w:rsidR="005C5A4F" w:rsidRPr="00C1693B">
        <w:rPr>
          <w:rFonts w:ascii="Times New Roman" w:hAnsi="Times New Roman" w:cs="Times New Roman"/>
        </w:rPr>
        <w:t>DI</w:t>
      </w:r>
      <w:r w:rsidRPr="00C1693B">
        <w:rPr>
          <w:rFonts w:ascii="Times New Roman" w:hAnsi="Times New Roman" w:cs="Times New Roman"/>
        </w:rPr>
        <w:t xml:space="preserve"> PIPELINE</w:t>
      </w:r>
    </w:p>
    <w:p w:rsidR="009D7892" w:rsidRPr="00C1693B" w:rsidRDefault="005C5A4F" w:rsidP="00E440A7">
      <w:pPr>
        <w:rPr>
          <w:rFonts w:cs="Times New Roman"/>
        </w:rPr>
      </w:pPr>
      <w:r w:rsidRPr="00C1693B">
        <w:rPr>
          <w:rFonts w:cs="Times New Roman"/>
        </w:rPr>
        <w:t xml:space="preserve">Per il </w:t>
      </w:r>
      <w:r w:rsidR="009D7892" w:rsidRPr="00C1693B">
        <w:rPr>
          <w:rFonts w:cs="Times New Roman"/>
        </w:rPr>
        <w:t xml:space="preserve">momento il </w:t>
      </w:r>
      <w:r w:rsidR="00A008EF" w:rsidRPr="00C1693B">
        <w:rPr>
          <w:rFonts w:cs="Times New Roman"/>
        </w:rPr>
        <w:t>P</w:t>
      </w:r>
      <w:r w:rsidR="009D7892" w:rsidRPr="00C1693B">
        <w:rPr>
          <w:rFonts w:cs="Times New Roman"/>
        </w:rPr>
        <w:t>aese è principalmente luogo di transito per il gas tur</w:t>
      </w:r>
      <w:r w:rsidRPr="00C1693B">
        <w:rPr>
          <w:rFonts w:cs="Times New Roman"/>
        </w:rPr>
        <w:t>kmeno verso la Russia e la Cina, m</w:t>
      </w:r>
      <w:r w:rsidR="009D7892" w:rsidRPr="00C1693B">
        <w:rPr>
          <w:rFonts w:cs="Times New Roman"/>
        </w:rPr>
        <w:t xml:space="preserve">a attraverso la rete di gasdotti, il </w:t>
      </w:r>
      <w:r w:rsidR="00A008EF" w:rsidRPr="00C1693B">
        <w:rPr>
          <w:rFonts w:cs="Times New Roman"/>
        </w:rPr>
        <w:t>P</w:t>
      </w:r>
      <w:r w:rsidR="009D7892" w:rsidRPr="00C1693B">
        <w:rPr>
          <w:rFonts w:cs="Times New Roman"/>
        </w:rPr>
        <w:t>aese può ampliare anche il proprio volume d’esportazioni. La posizione geografica del</w:t>
      </w:r>
      <w:r w:rsidR="00A008EF" w:rsidRPr="00C1693B">
        <w:rPr>
          <w:rFonts w:cs="Times New Roman"/>
        </w:rPr>
        <w:t>l’Uzbekistan</w:t>
      </w:r>
      <w:r w:rsidR="009D7892" w:rsidRPr="00C1693B">
        <w:rPr>
          <w:rFonts w:cs="Times New Roman"/>
        </w:rPr>
        <w:t>, nonché la politica di chiusura come linea generale del governo hanno circoscritto il raggio di queste, che sono principalmente rivolte alla Russia. Altri quantitativi raggiungono le ex repubbliche sovietiche dell’area, ma non sono nuovi episodi di tensione proprio riguardo questioni energetiche. Nel 2011, per esempio, l’Uzbekistan ha dimezzato da 480 milioni di m</w:t>
      </w:r>
      <w:r w:rsidR="009D7892" w:rsidRPr="00C1693B">
        <w:rPr>
          <w:rFonts w:cs="Times New Roman"/>
          <w:vertAlign w:val="superscript"/>
        </w:rPr>
        <w:t xml:space="preserve">3 </w:t>
      </w:r>
      <w:r w:rsidR="009D7892" w:rsidRPr="00C1693B">
        <w:rPr>
          <w:rFonts w:cs="Times New Roman"/>
        </w:rPr>
        <w:t>di gas a</w:t>
      </w:r>
      <w:r w:rsidRPr="00C1693B">
        <w:rPr>
          <w:rFonts w:cs="Times New Roman"/>
        </w:rPr>
        <w:t xml:space="preserve"> 240 milioni la fornitura al Tag</w:t>
      </w:r>
      <w:r w:rsidR="009D7892" w:rsidRPr="00C1693B">
        <w:rPr>
          <w:rFonts w:cs="Times New Roman"/>
        </w:rPr>
        <w:t>ikistan, per controversie legate ai pagamenti.</w:t>
      </w:r>
      <w:r w:rsidR="007867BD" w:rsidRPr="00C1693B">
        <w:rPr>
          <w:rFonts w:cs="Times New Roman"/>
        </w:rPr>
        <w:t xml:space="preserve"> Nell’aprile 2012 Tashkent ha ulteriormente tagliato i rifornimenti di gas al Tagikistan, provocando il fermo delle attività nell’impianto di lavorazione dell’alluminio di Qurghonteppa, responsabile del 70% delle esportazioni industriali del </w:t>
      </w:r>
      <w:r w:rsidR="00A008EF" w:rsidRPr="00C1693B">
        <w:rPr>
          <w:rFonts w:cs="Times New Roman"/>
        </w:rPr>
        <w:t>P</w:t>
      </w:r>
      <w:r w:rsidR="007867BD" w:rsidRPr="00C1693B">
        <w:rPr>
          <w:rFonts w:cs="Times New Roman"/>
        </w:rPr>
        <w:t>aese. Le dispute sui pagamenti, se non del tutto pretestuose, certamente s’inseriscono</w:t>
      </w:r>
      <w:r w:rsidR="009D7892" w:rsidRPr="00C1693B">
        <w:rPr>
          <w:rFonts w:cs="Times New Roman"/>
        </w:rPr>
        <w:t xml:space="preserve"> nell’attrito che i due </w:t>
      </w:r>
      <w:r w:rsidR="00A008EF" w:rsidRPr="00C1693B">
        <w:rPr>
          <w:rFonts w:cs="Times New Roman"/>
        </w:rPr>
        <w:t>P</w:t>
      </w:r>
      <w:r w:rsidR="009D7892" w:rsidRPr="00C1693B">
        <w:rPr>
          <w:rFonts w:cs="Times New Roman"/>
        </w:rPr>
        <w:t>aesi hanno sulla diga di Rogun, il cui progetto di epoca sovietica è stato riconsiderato da Dushanbe, provocando le ire di Tashkent, che teme una carenza d’</w:t>
      </w:r>
      <w:r w:rsidR="007867BD" w:rsidRPr="00C1693B">
        <w:rPr>
          <w:rFonts w:cs="Times New Roman"/>
        </w:rPr>
        <w:t>acqua per le colture del cotone, e che, quindi, risponde facendo leva sul potere contrattuale derivante dalla fornitura di gas.</w:t>
      </w:r>
    </w:p>
    <w:p w:rsidR="002E4117" w:rsidRPr="00C1693B" w:rsidRDefault="002E4117" w:rsidP="00E440A7">
      <w:pPr>
        <w:rPr>
          <w:rFonts w:cs="Times New Roman"/>
        </w:rPr>
      </w:pPr>
    </w:p>
    <w:p w:rsidR="009D7892" w:rsidRPr="00C1693B" w:rsidRDefault="009D7892" w:rsidP="00E440A7">
      <w:pPr>
        <w:rPr>
          <w:rFonts w:cs="Times New Roman"/>
        </w:rPr>
      </w:pPr>
      <w:r w:rsidRPr="00C1693B">
        <w:rPr>
          <w:rFonts w:cs="Times New Roman"/>
          <w:noProof/>
          <w:lang w:eastAsia="it-IT"/>
        </w:rPr>
        <w:drawing>
          <wp:inline distT="0" distB="0" distL="0" distR="0">
            <wp:extent cx="5006975" cy="2971800"/>
            <wp:effectExtent l="25400" t="0" r="0"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12324" cy="2974975"/>
                    </a:xfrm>
                    <a:prstGeom prst="rect">
                      <a:avLst/>
                    </a:prstGeom>
                    <a:noFill/>
                    <a:ln w="9525">
                      <a:noFill/>
                      <a:miter lim="800000"/>
                      <a:headEnd/>
                      <a:tailEnd/>
                    </a:ln>
                  </pic:spPr>
                </pic:pic>
              </a:graphicData>
            </a:graphic>
          </wp:inline>
        </w:drawing>
      </w:r>
    </w:p>
    <w:p w:rsidR="008F5CF5" w:rsidRPr="00C1693B" w:rsidRDefault="008F5CF5" w:rsidP="00E440A7">
      <w:pPr>
        <w:rPr>
          <w:rFonts w:cs="Times New Roman"/>
          <w:i/>
        </w:rPr>
      </w:pPr>
    </w:p>
    <w:p w:rsidR="009D7892" w:rsidRPr="00C1693B" w:rsidRDefault="009D7892" w:rsidP="00E440A7">
      <w:pPr>
        <w:rPr>
          <w:rFonts w:cs="Times New Roman"/>
          <w:i/>
        </w:rPr>
      </w:pPr>
    </w:p>
    <w:p w:rsidR="008F5CF5" w:rsidRPr="00C1693B" w:rsidRDefault="00D52245" w:rsidP="00E440A7">
      <w:pPr>
        <w:pStyle w:val="Stile4"/>
        <w:spacing w:before="0"/>
        <w:rPr>
          <w:rFonts w:ascii="Times New Roman" w:hAnsi="Times New Roman" w:cs="Times New Roman"/>
        </w:rPr>
      </w:pPr>
      <w:r w:rsidRPr="00C1693B">
        <w:rPr>
          <w:rFonts w:ascii="Times New Roman" w:hAnsi="Times New Roman" w:cs="Times New Roman"/>
        </w:rPr>
        <w:t>Sistema di gasdotti ”Asia Centrale – Centro”</w:t>
      </w:r>
      <w:r w:rsidR="008F5CF5" w:rsidRPr="00C1693B">
        <w:rPr>
          <w:rFonts w:ascii="Times New Roman" w:hAnsi="Times New Roman" w:cs="Times New Roman"/>
        </w:rPr>
        <w:t xml:space="preserve"> (CAC)</w:t>
      </w:r>
    </w:p>
    <w:p w:rsidR="006A62BE" w:rsidRPr="00C1693B" w:rsidRDefault="00C60B76" w:rsidP="00E440A7">
      <w:pPr>
        <w:rPr>
          <w:rFonts w:cs="Times New Roman"/>
        </w:rPr>
      </w:pPr>
      <w:r w:rsidRPr="00C1693B">
        <w:rPr>
          <w:rFonts w:cs="Times New Roman"/>
        </w:rPr>
        <w:t>La CAC è una rete di pipeline gestita dalla russa Gazprom, che provvede a trasportare in territorio russo il metano da Turkmenistan, Uzbekistan e Kazakistan</w:t>
      </w:r>
      <w:r w:rsidR="001B7AB7" w:rsidRPr="00C1693B">
        <w:rPr>
          <w:rFonts w:cs="Times New Roman"/>
        </w:rPr>
        <w:t>.</w:t>
      </w:r>
      <w:r w:rsidR="001C5836" w:rsidRPr="00C1693B">
        <w:rPr>
          <w:rFonts w:cs="Times New Roman"/>
        </w:rPr>
        <w:t xml:space="preserve"> E’ suddivisa in due sezioni principali, quella occidentale che par</w:t>
      </w:r>
      <w:r w:rsidR="006A62BE" w:rsidRPr="00C1693B">
        <w:rPr>
          <w:rFonts w:cs="Times New Roman"/>
        </w:rPr>
        <w:t>t</w:t>
      </w:r>
      <w:r w:rsidR="005C5A4F" w:rsidRPr="00C1693B">
        <w:rPr>
          <w:rFonts w:cs="Times New Roman"/>
        </w:rPr>
        <w:t xml:space="preserve">e dal </w:t>
      </w:r>
      <w:r w:rsidR="001C5836" w:rsidRPr="00C1693B">
        <w:rPr>
          <w:rFonts w:cs="Times New Roman"/>
        </w:rPr>
        <w:t>Turkmenistan, e quella orientale che invece ha origine nel sud dell’Uzbekistan. Poiché la sua costruzione risale al peri</w:t>
      </w:r>
      <w:r w:rsidR="006A62BE" w:rsidRPr="00C1693B">
        <w:rPr>
          <w:rFonts w:cs="Times New Roman"/>
        </w:rPr>
        <w:t>o</w:t>
      </w:r>
      <w:r w:rsidR="001C5836" w:rsidRPr="00C1693B">
        <w:rPr>
          <w:rFonts w:cs="Times New Roman"/>
        </w:rPr>
        <w:t>do 1960-88, l’efficienza della rete è drasticamente calata negli ultimi anni. A fronte di una capa</w:t>
      </w:r>
      <w:r w:rsidR="004C2567" w:rsidRPr="00C1693B">
        <w:rPr>
          <w:rFonts w:cs="Times New Roman"/>
        </w:rPr>
        <w:t xml:space="preserve">cità massima di oltre </w:t>
      </w:r>
      <w:r w:rsidR="00A008EF" w:rsidRPr="00C1693B">
        <w:rPr>
          <w:rFonts w:cs="Times New Roman"/>
        </w:rPr>
        <w:t>novanta</w:t>
      </w:r>
      <w:r w:rsidR="004C2567" w:rsidRPr="00C1693B">
        <w:rPr>
          <w:rFonts w:cs="Times New Roman"/>
        </w:rPr>
        <w:t xml:space="preserve"> miliardi</w:t>
      </w:r>
      <w:r w:rsidR="001C5836" w:rsidRPr="00C1693B">
        <w:rPr>
          <w:rFonts w:cs="Times New Roman"/>
        </w:rPr>
        <w:t xml:space="preserve"> di m</w:t>
      </w:r>
      <w:r w:rsidR="006A62BE" w:rsidRPr="00C1693B">
        <w:rPr>
          <w:rFonts w:cs="Times New Roman"/>
          <w:vertAlign w:val="superscript"/>
        </w:rPr>
        <w:t>3</w:t>
      </w:r>
      <w:r w:rsidR="006A62BE" w:rsidRPr="00C1693B">
        <w:rPr>
          <w:rFonts w:cs="Times New Roman"/>
        </w:rPr>
        <w:t>, l’attuale flusso</w:t>
      </w:r>
      <w:r w:rsidR="004C2567" w:rsidRPr="00C1693B">
        <w:rPr>
          <w:rFonts w:cs="Times New Roman"/>
        </w:rPr>
        <w:t xml:space="preserve"> si attesta intono ai </w:t>
      </w:r>
      <w:r w:rsidR="00A008EF" w:rsidRPr="00C1693B">
        <w:rPr>
          <w:rFonts w:cs="Times New Roman"/>
        </w:rPr>
        <w:t>trenta</w:t>
      </w:r>
      <w:r w:rsidR="004C2567" w:rsidRPr="00C1693B">
        <w:rPr>
          <w:rFonts w:cs="Times New Roman"/>
        </w:rPr>
        <w:t xml:space="preserve"> miliardi</w:t>
      </w:r>
      <w:r w:rsidR="006A62BE" w:rsidRPr="00C1693B">
        <w:rPr>
          <w:rFonts w:cs="Times New Roman"/>
        </w:rPr>
        <w:t xml:space="preserve"> di m</w:t>
      </w:r>
      <w:r w:rsidR="006A62BE" w:rsidRPr="00C1693B">
        <w:rPr>
          <w:rFonts w:cs="Times New Roman"/>
          <w:vertAlign w:val="superscript"/>
        </w:rPr>
        <w:t xml:space="preserve">3 </w:t>
      </w:r>
      <w:r w:rsidR="00A008EF" w:rsidRPr="00C1693B">
        <w:rPr>
          <w:rFonts w:cs="Times New Roman"/>
        </w:rPr>
        <w:t>l’</w:t>
      </w:r>
      <w:r w:rsidR="006A62BE" w:rsidRPr="00C1693B">
        <w:rPr>
          <w:rFonts w:cs="Times New Roman"/>
        </w:rPr>
        <w:t xml:space="preserve">anno.  Al fine di aumentare la capacità di trasporto della rete, la Gazprom ha disposto, congiuntamente a compagnie uzbeke, kazake, e turkmene, un ampliamento e ammodernamento della CAC, </w:t>
      </w:r>
      <w:r w:rsidR="00A008EF" w:rsidRPr="00C1693B">
        <w:rPr>
          <w:rFonts w:cs="Times New Roman"/>
        </w:rPr>
        <w:t>e</w:t>
      </w:r>
      <w:r w:rsidR="006A62BE" w:rsidRPr="00C1693B">
        <w:rPr>
          <w:rFonts w:cs="Times New Roman"/>
        </w:rPr>
        <w:t xml:space="preserve"> una linea ausiliaria che costeggi il mar Caspio, il cosiddetto gasdotto pre-caspico.</w:t>
      </w:r>
    </w:p>
    <w:p w:rsidR="002E4117" w:rsidRPr="00C1693B" w:rsidRDefault="002E4117" w:rsidP="00E440A7">
      <w:pPr>
        <w:rPr>
          <w:rFonts w:cs="Times New Roman"/>
        </w:rPr>
      </w:pPr>
    </w:p>
    <w:p w:rsidR="002E4117" w:rsidRPr="00C1693B" w:rsidRDefault="002E4117" w:rsidP="00E440A7">
      <w:pPr>
        <w:pStyle w:val="Stile4"/>
        <w:spacing w:before="0"/>
        <w:rPr>
          <w:rFonts w:ascii="Times New Roman" w:hAnsi="Times New Roman" w:cs="Times New Roman"/>
        </w:rPr>
      </w:pPr>
      <w:r w:rsidRPr="00C1693B">
        <w:rPr>
          <w:rFonts w:ascii="Times New Roman" w:hAnsi="Times New Roman" w:cs="Times New Roman"/>
        </w:rPr>
        <w:t>Gasdotto Bukhara-Urali</w:t>
      </w:r>
    </w:p>
    <w:p w:rsidR="002E4117" w:rsidRPr="00C1693B" w:rsidRDefault="002E4117" w:rsidP="00E440A7">
      <w:pPr>
        <w:rPr>
          <w:rFonts w:cs="Times New Roman"/>
        </w:rPr>
      </w:pPr>
      <w:r w:rsidRPr="00C1693B">
        <w:rPr>
          <w:rFonts w:cs="Times New Roman"/>
        </w:rPr>
        <w:t xml:space="preserve">La cattiva condizione del CAC ha obbligato nel 2001 Tashkent a riaprire questo vecchio condotto di eredità sovietica per far transitare maggiori di gas turkmeno. Il gasdotto ha origine nella regione sudorientale del Tukmenistan, transita per Bukhara, e raggiunge la rete russa attraverso il Kazakistan. Nonostante la massima capacità annua si aggiri intorno ai </w:t>
      </w:r>
      <w:r w:rsidR="00A008EF" w:rsidRPr="00C1693B">
        <w:rPr>
          <w:rFonts w:cs="Times New Roman"/>
        </w:rPr>
        <w:t>venti</w:t>
      </w:r>
      <w:r w:rsidRPr="00C1693B">
        <w:rPr>
          <w:rFonts w:cs="Times New Roman"/>
        </w:rPr>
        <w:t xml:space="preserve"> miliardi di m</w:t>
      </w:r>
      <w:r w:rsidRPr="00C1693B">
        <w:rPr>
          <w:rFonts w:cs="Times New Roman"/>
          <w:vertAlign w:val="superscript"/>
        </w:rPr>
        <w:t xml:space="preserve">3 </w:t>
      </w:r>
      <w:r w:rsidRPr="00C1693B">
        <w:rPr>
          <w:rFonts w:cs="Times New Roman"/>
        </w:rPr>
        <w:t xml:space="preserve">di gas, il flusso rimane sui </w:t>
      </w:r>
      <w:r w:rsidR="00A008EF" w:rsidRPr="00C1693B">
        <w:rPr>
          <w:rFonts w:cs="Times New Roman"/>
        </w:rPr>
        <w:t>cinque</w:t>
      </w:r>
      <w:r w:rsidRPr="00C1693B">
        <w:rPr>
          <w:rFonts w:cs="Times New Roman"/>
        </w:rPr>
        <w:t xml:space="preserve"> m</w:t>
      </w:r>
      <w:r w:rsidR="004C2567" w:rsidRPr="00C1693B">
        <w:rPr>
          <w:rFonts w:cs="Times New Roman"/>
        </w:rPr>
        <w:t xml:space="preserve">iliardi. </w:t>
      </w:r>
    </w:p>
    <w:p w:rsidR="002E4117" w:rsidRPr="00C1693B" w:rsidRDefault="002E4117" w:rsidP="00E440A7">
      <w:pPr>
        <w:rPr>
          <w:rFonts w:cs="Times New Roman"/>
        </w:rPr>
      </w:pPr>
    </w:p>
    <w:p w:rsidR="002E4117" w:rsidRPr="00C1693B" w:rsidRDefault="002E4117" w:rsidP="00E440A7">
      <w:pPr>
        <w:pStyle w:val="Stile4"/>
        <w:spacing w:before="0"/>
        <w:rPr>
          <w:rFonts w:ascii="Times New Roman" w:hAnsi="Times New Roman" w:cs="Times New Roman"/>
        </w:rPr>
      </w:pPr>
      <w:r w:rsidRPr="00C1693B">
        <w:rPr>
          <w:rFonts w:ascii="Times New Roman" w:hAnsi="Times New Roman" w:cs="Times New Roman"/>
        </w:rPr>
        <w:t>Gasdotto Asia Centrale – Cina</w:t>
      </w:r>
    </w:p>
    <w:p w:rsidR="002E4117" w:rsidRPr="00C1693B" w:rsidRDefault="002E4117" w:rsidP="00E440A7">
      <w:pPr>
        <w:rPr>
          <w:rFonts w:cs="Times New Roman"/>
        </w:rPr>
      </w:pPr>
      <w:r w:rsidRPr="00C1693B">
        <w:rPr>
          <w:rFonts w:cs="Times New Roman"/>
        </w:rPr>
        <w:t xml:space="preserve">La costruzione di questo gasdotto da parte della CNPC in join venture con le compagnie nazionali dei </w:t>
      </w:r>
      <w:r w:rsidR="00A008EF" w:rsidRPr="00C1693B">
        <w:rPr>
          <w:rFonts w:cs="Times New Roman"/>
        </w:rPr>
        <w:t>P</w:t>
      </w:r>
      <w:r w:rsidRPr="00C1693B">
        <w:rPr>
          <w:rFonts w:cs="Times New Roman"/>
        </w:rPr>
        <w:t xml:space="preserve">aesi centrasiatici è iniziata nel 2009, e la struttura è operativa dal 2009. Il suo percorso inizia a Gedaim, al confine turkmeno e, attraverso Uzbekistan e Kazakistan, raggiunge Horgon, nella regione autonoma cinese dello Xinjiang. Qui si collega con il secondo gasdotto ovest-est che dopo oltre 8000 km </w:t>
      </w:r>
      <w:r w:rsidR="00A008EF" w:rsidRPr="00C1693B">
        <w:rPr>
          <w:rFonts w:cs="Times New Roman"/>
        </w:rPr>
        <w:t>terminano</w:t>
      </w:r>
      <w:r w:rsidRPr="00C1693B">
        <w:rPr>
          <w:rFonts w:cs="Times New Roman"/>
        </w:rPr>
        <w:t xml:space="preserve"> nella regione autonoma di Hong Kong.  La pipeline si compone di due condotti paralleli di 1833 km, con una capacità massima di 30 miliardi di m</w:t>
      </w:r>
      <w:r w:rsidRPr="00C1693B">
        <w:rPr>
          <w:rFonts w:cs="Times New Roman"/>
          <w:vertAlign w:val="superscript"/>
        </w:rPr>
        <w:t xml:space="preserve">3 </w:t>
      </w:r>
      <w:r w:rsidRPr="00C1693B">
        <w:rPr>
          <w:rFonts w:cs="Times New Roman"/>
        </w:rPr>
        <w:t xml:space="preserve">di gas annui. Il maggiore fornitore </w:t>
      </w:r>
      <w:r w:rsidR="00D535A7" w:rsidRPr="00C1693B">
        <w:rPr>
          <w:rFonts w:cs="Times New Roman"/>
        </w:rPr>
        <w:t xml:space="preserve">è </w:t>
      </w:r>
      <w:r w:rsidRPr="00C1693B">
        <w:rPr>
          <w:rFonts w:cs="Times New Roman"/>
        </w:rPr>
        <w:t>il Turkmenistan, e, in maniera minore, giunge in Cina anche metano kazako. Tuttavia anche l’Uzbekistan è pronto a esportare il proprio gas tramite la struttura, con ampi margini di ampliamento dei volumi di scambio. In tale ottica nel marzo 2012 è iniziata la costruzione del tratto uzbeco di una terza linea con 25 miliardi di m</w:t>
      </w:r>
      <w:r w:rsidRPr="00C1693B">
        <w:rPr>
          <w:rFonts w:cs="Times New Roman"/>
          <w:vertAlign w:val="superscript"/>
        </w:rPr>
        <w:t xml:space="preserve">3 </w:t>
      </w:r>
      <w:r w:rsidRPr="00C1693B">
        <w:rPr>
          <w:rFonts w:cs="Times New Roman"/>
        </w:rPr>
        <w:t>annui di portata , che dovrebbe essere operativa entro il 2014.</w:t>
      </w:r>
    </w:p>
    <w:p w:rsidR="00E4762E" w:rsidRPr="00C1693B" w:rsidRDefault="00E4762E" w:rsidP="00E440A7">
      <w:pPr>
        <w:rPr>
          <w:rFonts w:cs="Times New Roman"/>
          <w:i/>
        </w:rPr>
      </w:pPr>
    </w:p>
    <w:p w:rsidR="0014373A" w:rsidRPr="00C1693B" w:rsidRDefault="00D52245" w:rsidP="00E440A7">
      <w:pPr>
        <w:pStyle w:val="Stile4"/>
        <w:spacing w:before="0"/>
        <w:rPr>
          <w:rFonts w:ascii="Times New Roman" w:hAnsi="Times New Roman" w:cs="Times New Roman"/>
        </w:rPr>
      </w:pPr>
      <w:r w:rsidRPr="00C1693B">
        <w:rPr>
          <w:rFonts w:ascii="Times New Roman" w:hAnsi="Times New Roman" w:cs="Times New Roman"/>
        </w:rPr>
        <w:t>Gasdotto Bukhara-Tashkent</w:t>
      </w:r>
      <w:r w:rsidR="0014373A" w:rsidRPr="00C1693B">
        <w:rPr>
          <w:rFonts w:ascii="Times New Roman" w:hAnsi="Times New Roman" w:cs="Times New Roman"/>
        </w:rPr>
        <w:t xml:space="preserve">-Bishkek-Alma </w:t>
      </w:r>
      <w:r w:rsidRPr="00C1693B">
        <w:rPr>
          <w:rFonts w:ascii="Times New Roman" w:hAnsi="Times New Roman" w:cs="Times New Roman"/>
        </w:rPr>
        <w:t>Aty</w:t>
      </w:r>
    </w:p>
    <w:p w:rsidR="00AC09C0" w:rsidRPr="00C1693B" w:rsidRDefault="0014373A" w:rsidP="00E440A7">
      <w:pPr>
        <w:rPr>
          <w:rFonts w:cs="Times New Roman"/>
        </w:rPr>
      </w:pPr>
      <w:r w:rsidRPr="00C1693B">
        <w:rPr>
          <w:rFonts w:cs="Times New Roman"/>
        </w:rPr>
        <w:t>Quest’opera rappresenta il maggior vettore delle esportazioni di gas uzbeko e la principale fonte di approvvigionamento del Kirg</w:t>
      </w:r>
      <w:r w:rsidR="00D535A7" w:rsidRPr="00C1693B">
        <w:rPr>
          <w:rFonts w:cs="Times New Roman"/>
        </w:rPr>
        <w:t>h</w:t>
      </w:r>
      <w:r w:rsidRPr="00C1693B">
        <w:rPr>
          <w:rFonts w:cs="Times New Roman"/>
        </w:rPr>
        <w:t>izistan settentrionale e del Kazakistan meridionale. La costruzione di questo gasd</w:t>
      </w:r>
      <w:r w:rsidR="004C2567" w:rsidRPr="00C1693B">
        <w:rPr>
          <w:rFonts w:cs="Times New Roman"/>
        </w:rPr>
        <w:t>otto da 22 miliardi</w:t>
      </w:r>
      <w:r w:rsidRPr="00C1693B">
        <w:rPr>
          <w:rFonts w:cs="Times New Roman"/>
        </w:rPr>
        <w:t xml:space="preserve"> di m</w:t>
      </w:r>
      <w:r w:rsidRPr="00C1693B">
        <w:rPr>
          <w:rFonts w:cs="Times New Roman"/>
          <w:vertAlign w:val="superscript"/>
        </w:rPr>
        <w:t xml:space="preserve">3 </w:t>
      </w:r>
      <w:r w:rsidRPr="00C1693B">
        <w:rPr>
          <w:rFonts w:cs="Times New Roman"/>
        </w:rPr>
        <w:t>è iniziata nel 1967 e nel 1971 la pipeline ha raggiunto Alma Aty.</w:t>
      </w:r>
      <w:r w:rsidR="00E4762E" w:rsidRPr="00C1693B">
        <w:rPr>
          <w:rFonts w:cs="Times New Roman"/>
        </w:rPr>
        <w:t xml:space="preserve"> Alcune controversie di natura commerciale sono state oggetto in passato di tensione tra i tre paesi, soprattutto per il comportamento altalenante della fornitura da parte uzbeka e dei pagamenti da parte degli altri due </w:t>
      </w:r>
      <w:r w:rsidR="00A008EF" w:rsidRPr="00C1693B">
        <w:rPr>
          <w:rFonts w:cs="Times New Roman"/>
        </w:rPr>
        <w:t>P</w:t>
      </w:r>
      <w:r w:rsidR="00E4762E" w:rsidRPr="00C1693B">
        <w:rPr>
          <w:rFonts w:cs="Times New Roman"/>
        </w:rPr>
        <w:t>aesi.</w:t>
      </w:r>
    </w:p>
    <w:p w:rsidR="00AC09C0" w:rsidRPr="00C1693B" w:rsidRDefault="00AC09C0" w:rsidP="00E440A7">
      <w:pPr>
        <w:rPr>
          <w:rFonts w:cs="Times New Roman"/>
          <w:b/>
          <w:i/>
        </w:rPr>
      </w:pPr>
    </w:p>
    <w:p w:rsidR="00623B50" w:rsidRPr="00C1693B" w:rsidRDefault="00623B50" w:rsidP="00E440A7">
      <w:pPr>
        <w:rPr>
          <w:rFonts w:cs="Times New Roman"/>
          <w:b/>
          <w:i/>
        </w:rPr>
      </w:pPr>
    </w:p>
    <w:p w:rsidR="00623B50" w:rsidRPr="00C1693B" w:rsidRDefault="00623B50" w:rsidP="00E440A7">
      <w:pPr>
        <w:rPr>
          <w:rFonts w:cs="Times New Roman"/>
          <w:b/>
          <w:i/>
        </w:rPr>
      </w:pPr>
    </w:p>
    <w:p w:rsidR="00623B50" w:rsidRDefault="00623B50" w:rsidP="00E440A7">
      <w:pPr>
        <w:rPr>
          <w:rFonts w:cs="Times New Roman"/>
          <w:b/>
          <w:i/>
        </w:rPr>
      </w:pPr>
    </w:p>
    <w:p w:rsidR="00E71E16" w:rsidRDefault="00E71E16" w:rsidP="00E440A7">
      <w:pPr>
        <w:rPr>
          <w:rFonts w:cs="Times New Roman"/>
          <w:b/>
          <w:i/>
        </w:rPr>
      </w:pPr>
    </w:p>
    <w:p w:rsidR="00E71E16" w:rsidRPr="00C1693B" w:rsidRDefault="00E71E16" w:rsidP="00E440A7">
      <w:pPr>
        <w:rPr>
          <w:rFonts w:cs="Times New Roman"/>
          <w:b/>
          <w:i/>
        </w:rPr>
      </w:pPr>
    </w:p>
    <w:p w:rsidR="00623B50" w:rsidRPr="00C1693B" w:rsidRDefault="00623B50" w:rsidP="00E440A7">
      <w:pPr>
        <w:rPr>
          <w:rFonts w:cs="Times New Roman"/>
          <w:b/>
          <w:i/>
        </w:rPr>
      </w:pPr>
    </w:p>
    <w:p w:rsidR="00623B50" w:rsidRPr="00C1693B" w:rsidRDefault="00623B50" w:rsidP="00E440A7">
      <w:pPr>
        <w:rPr>
          <w:rFonts w:cs="Times New Roman"/>
          <w:b/>
          <w:i/>
        </w:rPr>
      </w:pPr>
    </w:p>
    <w:p w:rsidR="00AC09C0" w:rsidRPr="00C1693B" w:rsidRDefault="00AC09C0" w:rsidP="00E440A7">
      <w:pPr>
        <w:tabs>
          <w:tab w:val="left" w:pos="4693"/>
        </w:tabs>
        <w:rPr>
          <w:rFonts w:cs="Times New Roman"/>
          <w:b/>
          <w:i/>
          <w:u w:val="single"/>
        </w:rPr>
      </w:pPr>
      <w:r w:rsidRPr="00C1693B">
        <w:rPr>
          <w:rFonts w:cs="Times New Roman"/>
          <w:b/>
          <w:i/>
        </w:rPr>
        <w:t>Sitografia</w:t>
      </w:r>
      <w:r w:rsidR="00666956" w:rsidRPr="00C1693B">
        <w:rPr>
          <w:rFonts w:cs="Times New Roman"/>
          <w:b/>
          <w:i/>
        </w:rPr>
        <w:tab/>
      </w:r>
    </w:p>
    <w:p w:rsidR="003421AD" w:rsidRPr="00C1693B" w:rsidRDefault="006C2216" w:rsidP="00E440A7">
      <w:pPr>
        <w:rPr>
          <w:rFonts w:cs="Times New Roman"/>
        </w:rPr>
      </w:pPr>
      <w:hyperlink r:id="rId16" w:history="1">
        <w:r w:rsidR="00AC09C0" w:rsidRPr="00C1693B">
          <w:rPr>
            <w:rStyle w:val="Collegamentoipertestuale"/>
            <w:rFonts w:cs="Times New Roman"/>
          </w:rPr>
          <w:t>www.iea.com</w:t>
        </w:r>
      </w:hyperlink>
    </w:p>
    <w:p w:rsidR="003421AD" w:rsidRPr="00C1693B" w:rsidRDefault="006C2216" w:rsidP="00E440A7">
      <w:pPr>
        <w:rPr>
          <w:rFonts w:cs="Times New Roman"/>
        </w:rPr>
      </w:pPr>
      <w:hyperlink r:id="rId17" w:history="1">
        <w:r w:rsidR="003421AD" w:rsidRPr="00C1693B">
          <w:rPr>
            <w:rStyle w:val="Collegamentoipertestuale"/>
            <w:rFonts w:cs="Times New Roman"/>
          </w:rPr>
          <w:t>www.ogj.com</w:t>
        </w:r>
      </w:hyperlink>
    </w:p>
    <w:p w:rsidR="003421AD" w:rsidRPr="00C1693B" w:rsidRDefault="006C2216" w:rsidP="00E440A7">
      <w:pPr>
        <w:rPr>
          <w:rFonts w:cs="Times New Roman"/>
        </w:rPr>
      </w:pPr>
      <w:hyperlink r:id="rId18" w:history="1">
        <w:r w:rsidR="003421AD" w:rsidRPr="00C1693B">
          <w:rPr>
            <w:rStyle w:val="Collegamentoipertestuale"/>
            <w:rFonts w:cs="Times New Roman"/>
          </w:rPr>
          <w:t>www.ung.uz</w:t>
        </w:r>
      </w:hyperlink>
    </w:p>
    <w:p w:rsidR="003421AD" w:rsidRPr="00C1693B" w:rsidRDefault="006C2216" w:rsidP="00E440A7">
      <w:pPr>
        <w:rPr>
          <w:rFonts w:cs="Times New Roman"/>
        </w:rPr>
      </w:pPr>
      <w:hyperlink r:id="rId19" w:history="1">
        <w:r w:rsidR="003421AD" w:rsidRPr="00C1693B">
          <w:rPr>
            <w:rStyle w:val="Collegamentoipertestuale"/>
            <w:rFonts w:cs="Times New Roman"/>
          </w:rPr>
          <w:t>www.uzbekenergo.uz</w:t>
        </w:r>
      </w:hyperlink>
    </w:p>
    <w:p w:rsidR="003421AD" w:rsidRPr="00C1693B" w:rsidRDefault="006C2216" w:rsidP="00E440A7">
      <w:pPr>
        <w:rPr>
          <w:rFonts w:cs="Times New Roman"/>
        </w:rPr>
      </w:pPr>
      <w:hyperlink r:id="rId20" w:history="1">
        <w:r w:rsidR="003421AD" w:rsidRPr="00C1693B">
          <w:rPr>
            <w:rStyle w:val="Collegamentoipertestuale"/>
            <w:rFonts w:cs="Times New Roman"/>
          </w:rPr>
          <w:t>http://pipelinesinternational.com</w:t>
        </w:r>
      </w:hyperlink>
    </w:p>
    <w:p w:rsidR="003421AD" w:rsidRPr="00C1693B" w:rsidRDefault="006C2216" w:rsidP="00E440A7">
      <w:pPr>
        <w:rPr>
          <w:rFonts w:cs="Times New Roman"/>
        </w:rPr>
      </w:pPr>
      <w:hyperlink r:id="rId21" w:history="1">
        <w:r w:rsidR="003421AD" w:rsidRPr="00C1693B">
          <w:rPr>
            <w:rStyle w:val="Collegamentoipertestuale"/>
            <w:rFonts w:cs="Times New Roman"/>
          </w:rPr>
          <w:t>www.eia.gov</w:t>
        </w:r>
      </w:hyperlink>
    </w:p>
    <w:p w:rsidR="003421AD" w:rsidRPr="00C1693B" w:rsidRDefault="006C2216" w:rsidP="00E440A7">
      <w:pPr>
        <w:rPr>
          <w:rFonts w:cs="Times New Roman"/>
        </w:rPr>
      </w:pPr>
      <w:hyperlink r:id="rId22" w:history="1">
        <w:r w:rsidR="003421AD" w:rsidRPr="00C1693B">
          <w:rPr>
            <w:rStyle w:val="Collegamentoipertestuale"/>
            <w:rFonts w:cs="Times New Roman"/>
          </w:rPr>
          <w:t>http://www.silkroadstudies.org</w:t>
        </w:r>
      </w:hyperlink>
    </w:p>
    <w:p w:rsidR="003421AD" w:rsidRPr="00C1693B" w:rsidRDefault="006C2216" w:rsidP="00E440A7">
      <w:pPr>
        <w:rPr>
          <w:rFonts w:cs="Times New Roman"/>
        </w:rPr>
      </w:pPr>
      <w:hyperlink r:id="rId23" w:history="1">
        <w:r w:rsidR="003421AD" w:rsidRPr="00C1693B">
          <w:rPr>
            <w:rStyle w:val="Collegamentoipertestuale"/>
            <w:rFonts w:cs="Times New Roman"/>
          </w:rPr>
          <w:t>http://www.uzbekcoal.uz</w:t>
        </w:r>
      </w:hyperlink>
    </w:p>
    <w:p w:rsidR="003421AD" w:rsidRPr="00C1693B" w:rsidRDefault="006C2216" w:rsidP="00E440A7">
      <w:pPr>
        <w:rPr>
          <w:rFonts w:cs="Times New Roman"/>
        </w:rPr>
      </w:pPr>
      <w:hyperlink r:id="rId24" w:history="1">
        <w:r w:rsidR="003421AD" w:rsidRPr="00C1693B">
          <w:rPr>
            <w:rStyle w:val="Collegamentoipertestuale"/>
            <w:rFonts w:cs="Times New Roman"/>
          </w:rPr>
          <w:t>www.lukoil.com</w:t>
        </w:r>
      </w:hyperlink>
    </w:p>
    <w:p w:rsidR="003421AD" w:rsidRPr="00C1693B" w:rsidRDefault="006C2216" w:rsidP="00E440A7">
      <w:pPr>
        <w:rPr>
          <w:rFonts w:cs="Times New Roman"/>
        </w:rPr>
      </w:pPr>
      <w:hyperlink r:id="rId25" w:history="1">
        <w:r w:rsidR="003421AD" w:rsidRPr="00C1693B">
          <w:rPr>
            <w:rStyle w:val="Collegamentoipertestuale"/>
            <w:rFonts w:cs="Times New Roman"/>
          </w:rPr>
          <w:t>www.gazprom.com</w:t>
        </w:r>
      </w:hyperlink>
    </w:p>
    <w:p w:rsidR="00B947E2" w:rsidRPr="00C1693B" w:rsidRDefault="006C2216" w:rsidP="00E440A7">
      <w:pPr>
        <w:rPr>
          <w:rFonts w:cs="Times New Roman"/>
        </w:rPr>
      </w:pPr>
      <w:hyperlink r:id="rId26" w:history="1">
        <w:r w:rsidR="00B947E2" w:rsidRPr="00C1693B">
          <w:rPr>
            <w:rStyle w:val="Collegamentoipertestuale"/>
            <w:rFonts w:cs="Times New Roman"/>
          </w:rPr>
          <w:t>www.cnpc.com</w:t>
        </w:r>
      </w:hyperlink>
    </w:p>
    <w:p w:rsidR="00B947E2" w:rsidRPr="00C1693B" w:rsidRDefault="006C2216" w:rsidP="00E440A7">
      <w:pPr>
        <w:rPr>
          <w:rFonts w:cs="Times New Roman"/>
        </w:rPr>
      </w:pPr>
      <w:hyperlink r:id="rId27" w:history="1">
        <w:r w:rsidR="00B947E2" w:rsidRPr="00C1693B">
          <w:rPr>
            <w:rStyle w:val="Collegamentoipertestuale"/>
            <w:rFonts w:cs="Times New Roman"/>
          </w:rPr>
          <w:t>www.tethyspetroleum.com</w:t>
        </w:r>
      </w:hyperlink>
    </w:p>
    <w:p w:rsidR="00B947E2" w:rsidRPr="00C1693B" w:rsidRDefault="006C2216" w:rsidP="00E440A7">
      <w:pPr>
        <w:rPr>
          <w:rFonts w:cs="Times New Roman"/>
        </w:rPr>
      </w:pPr>
      <w:hyperlink r:id="rId28" w:history="1">
        <w:r w:rsidR="00B947E2" w:rsidRPr="00C1693B">
          <w:rPr>
            <w:rStyle w:val="Collegamentoipertestuale"/>
            <w:rFonts w:cs="Times New Roman"/>
          </w:rPr>
          <w:t>www.eiu.com</w:t>
        </w:r>
      </w:hyperlink>
    </w:p>
    <w:p w:rsidR="00776C8C" w:rsidRPr="00C1693B" w:rsidRDefault="006C2216" w:rsidP="00E440A7">
      <w:pPr>
        <w:rPr>
          <w:rFonts w:cs="Times New Roman"/>
        </w:rPr>
      </w:pPr>
      <w:hyperlink r:id="rId29" w:history="1">
        <w:r w:rsidR="0083501E" w:rsidRPr="00C1693B">
          <w:rPr>
            <w:rStyle w:val="Collegamentoipertestuale"/>
            <w:rFonts w:cs="Times New Roman"/>
          </w:rPr>
          <w:t>www.csis.org</w:t>
        </w:r>
      </w:hyperlink>
      <w:r w:rsidR="0083501E" w:rsidRPr="00C1693B">
        <w:rPr>
          <w:rFonts w:cs="Times New Roman"/>
        </w:rPr>
        <w:t xml:space="preserve"> </w:t>
      </w:r>
    </w:p>
    <w:p w:rsidR="00666956" w:rsidRPr="00C1693B" w:rsidRDefault="006C2216" w:rsidP="00E440A7">
      <w:pPr>
        <w:rPr>
          <w:rFonts w:cs="Times New Roman"/>
        </w:rPr>
      </w:pPr>
      <w:hyperlink r:id="rId30" w:history="1">
        <w:r w:rsidR="00776C8C" w:rsidRPr="00C1693B">
          <w:rPr>
            <w:rStyle w:val="Collegamentoipertestuale"/>
            <w:rFonts w:cs="Times New Roman"/>
          </w:rPr>
          <w:t>www.worldbank.org</w:t>
        </w:r>
      </w:hyperlink>
      <w:r w:rsidR="00666956" w:rsidRPr="00C1693B">
        <w:rPr>
          <w:rFonts w:cs="Times New Roman"/>
        </w:rPr>
        <w:t xml:space="preserve"> </w:t>
      </w:r>
    </w:p>
    <w:p w:rsidR="00666956" w:rsidRPr="00C1693B" w:rsidRDefault="00666956" w:rsidP="00E440A7">
      <w:pPr>
        <w:rPr>
          <w:rFonts w:cs="Times New Roman"/>
          <w:color w:val="0000FF"/>
          <w:u w:val="single"/>
        </w:rPr>
      </w:pPr>
      <w:r w:rsidRPr="00C1693B">
        <w:rPr>
          <w:rFonts w:cs="Times New Roman"/>
          <w:color w:val="0000FF"/>
          <w:u w:val="single"/>
        </w:rPr>
        <w:t>www.adb.org</w:t>
      </w:r>
    </w:p>
    <w:p w:rsidR="00666956" w:rsidRPr="00C1693B" w:rsidRDefault="00666956" w:rsidP="00E440A7">
      <w:pPr>
        <w:rPr>
          <w:rFonts w:cs="Times New Roman"/>
          <w:color w:val="0000FF"/>
        </w:rPr>
      </w:pPr>
    </w:p>
    <w:p w:rsidR="00666956" w:rsidRPr="00C1693B" w:rsidRDefault="00666956" w:rsidP="00E440A7">
      <w:pPr>
        <w:rPr>
          <w:rFonts w:cs="Times New Roman"/>
          <w:color w:val="4F81BD" w:themeColor="accent1"/>
        </w:rPr>
      </w:pPr>
    </w:p>
    <w:p w:rsidR="00776C8C" w:rsidRPr="00C1693B" w:rsidRDefault="00776C8C" w:rsidP="00E440A7">
      <w:pPr>
        <w:rPr>
          <w:rFonts w:cs="Times New Roman"/>
        </w:rPr>
      </w:pPr>
    </w:p>
    <w:p w:rsidR="003421AD" w:rsidRPr="00C1693B" w:rsidRDefault="003421AD" w:rsidP="00E440A7">
      <w:pPr>
        <w:rPr>
          <w:rFonts w:cs="Times New Roman"/>
        </w:rPr>
      </w:pPr>
    </w:p>
    <w:p w:rsidR="00844019" w:rsidRPr="00C1693B" w:rsidRDefault="00844019" w:rsidP="00E440A7">
      <w:pPr>
        <w:rPr>
          <w:rFonts w:cs="Times New Roman"/>
        </w:rPr>
      </w:pPr>
    </w:p>
    <w:p w:rsidR="00844019" w:rsidRPr="00C1693B" w:rsidRDefault="00844019" w:rsidP="00E440A7">
      <w:pPr>
        <w:rPr>
          <w:rFonts w:cs="Times New Roman"/>
          <w:b/>
          <w:i/>
        </w:rPr>
      </w:pPr>
    </w:p>
    <w:p w:rsidR="00D547EC" w:rsidRPr="00C1693B" w:rsidRDefault="00D547EC" w:rsidP="00E440A7">
      <w:pPr>
        <w:rPr>
          <w:rFonts w:cs="Times New Roman"/>
          <w:b/>
          <w:i/>
        </w:rPr>
      </w:pPr>
    </w:p>
    <w:p w:rsidR="00022FFC" w:rsidRPr="00C1693B" w:rsidRDefault="00022FFC" w:rsidP="00E440A7">
      <w:pPr>
        <w:rPr>
          <w:rFonts w:cs="Times New Roman"/>
          <w:b/>
        </w:rPr>
      </w:pPr>
    </w:p>
    <w:sectPr w:rsidR="00022FFC" w:rsidRPr="00C1693B" w:rsidSect="005D0EDE">
      <w:footerReference w:type="even" r:id="rId31"/>
      <w:footerReference w:type="default" r:id="rId32"/>
      <w:pgSz w:w="11900" w:h="16840"/>
      <w:pgMar w:top="1985" w:right="1701" w:bottom="1701" w:left="1985"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1EF" w:rsidRDefault="007011EF" w:rsidP="00877A25">
      <w:pPr>
        <w:spacing w:line="240" w:lineRule="auto"/>
      </w:pPr>
      <w:r>
        <w:separator/>
      </w:r>
    </w:p>
  </w:endnote>
  <w:endnote w:type="continuationSeparator" w:id="1">
    <w:p w:rsidR="007011EF" w:rsidRDefault="007011EF" w:rsidP="00877A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94" w:rsidRDefault="006C2216" w:rsidP="00E03000">
    <w:pPr>
      <w:pStyle w:val="Pidipagina"/>
      <w:framePr w:wrap="around" w:vAnchor="text" w:hAnchor="margin" w:xAlign="right" w:y="1"/>
      <w:rPr>
        <w:rStyle w:val="Numeropagina"/>
      </w:rPr>
    </w:pPr>
    <w:r>
      <w:rPr>
        <w:rStyle w:val="Numeropagina"/>
      </w:rPr>
      <w:fldChar w:fldCharType="begin"/>
    </w:r>
    <w:r w:rsidR="00CD7C94">
      <w:rPr>
        <w:rStyle w:val="Numeropagina"/>
      </w:rPr>
      <w:instrText xml:space="preserve">PAGE  </w:instrText>
    </w:r>
    <w:r>
      <w:rPr>
        <w:rStyle w:val="Numeropagina"/>
      </w:rPr>
      <w:fldChar w:fldCharType="end"/>
    </w:r>
  </w:p>
  <w:p w:rsidR="00CD7C94" w:rsidRDefault="00CD7C94" w:rsidP="00E86E0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94" w:rsidRDefault="006C2216" w:rsidP="00E03000">
    <w:pPr>
      <w:pStyle w:val="Pidipagina"/>
      <w:framePr w:wrap="around" w:vAnchor="text" w:hAnchor="margin" w:xAlign="right" w:y="1"/>
      <w:rPr>
        <w:rStyle w:val="Numeropagina"/>
      </w:rPr>
    </w:pPr>
    <w:r>
      <w:rPr>
        <w:rStyle w:val="Numeropagina"/>
      </w:rPr>
      <w:fldChar w:fldCharType="begin"/>
    </w:r>
    <w:r w:rsidR="00CD7C94">
      <w:rPr>
        <w:rStyle w:val="Numeropagina"/>
      </w:rPr>
      <w:instrText xml:space="preserve">PAGE  </w:instrText>
    </w:r>
    <w:r>
      <w:rPr>
        <w:rStyle w:val="Numeropagina"/>
      </w:rPr>
      <w:fldChar w:fldCharType="separate"/>
    </w:r>
    <w:r w:rsidR="007011EF">
      <w:rPr>
        <w:rStyle w:val="Numeropagina"/>
        <w:noProof/>
      </w:rPr>
      <w:t>1</w:t>
    </w:r>
    <w:r>
      <w:rPr>
        <w:rStyle w:val="Numeropagina"/>
      </w:rPr>
      <w:fldChar w:fldCharType="end"/>
    </w:r>
  </w:p>
  <w:p w:rsidR="00CD7C94" w:rsidRDefault="00CD7C94" w:rsidP="00E86E0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1EF" w:rsidRDefault="007011EF" w:rsidP="00877A25">
      <w:pPr>
        <w:spacing w:line="240" w:lineRule="auto"/>
      </w:pPr>
      <w:r>
        <w:separator/>
      </w:r>
    </w:p>
  </w:footnote>
  <w:footnote w:type="continuationSeparator" w:id="1">
    <w:p w:rsidR="007011EF" w:rsidRDefault="007011EF" w:rsidP="00877A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375"/>
    <w:multiLevelType w:val="hybridMultilevel"/>
    <w:tmpl w:val="AE184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11DA6"/>
    <w:multiLevelType w:val="hybridMultilevel"/>
    <w:tmpl w:val="23E67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6475AF"/>
    <w:multiLevelType w:val="hybridMultilevel"/>
    <w:tmpl w:val="3E440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AF61F2"/>
    <w:multiLevelType w:val="hybridMultilevel"/>
    <w:tmpl w:val="8A0C579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2D3E4F87"/>
    <w:multiLevelType w:val="hybridMultilevel"/>
    <w:tmpl w:val="6F00BF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6D678C"/>
    <w:multiLevelType w:val="hybridMultilevel"/>
    <w:tmpl w:val="55E0CA1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6">
    <w:nsid w:val="55F14CB6"/>
    <w:multiLevelType w:val="hybridMultilevel"/>
    <w:tmpl w:val="4D58BAF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nsid w:val="72C9633C"/>
    <w:multiLevelType w:val="hybridMultilevel"/>
    <w:tmpl w:val="9E78F9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2E80190"/>
    <w:multiLevelType w:val="hybridMultilevel"/>
    <w:tmpl w:val="2AF8E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B1024C"/>
    <w:multiLevelType w:val="hybridMultilevel"/>
    <w:tmpl w:val="78D0478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916063A"/>
    <w:multiLevelType w:val="hybridMultilevel"/>
    <w:tmpl w:val="24428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10"/>
  </w:num>
  <w:num w:numId="6">
    <w:abstractNumId w:val="2"/>
  </w:num>
  <w:num w:numId="7">
    <w:abstractNumId w:val="5"/>
  </w:num>
  <w:num w:numId="8">
    <w:abstractNumId w:val="1"/>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022FFC"/>
    <w:rsid w:val="00001B8C"/>
    <w:rsid w:val="00004756"/>
    <w:rsid w:val="00004F11"/>
    <w:rsid w:val="00014520"/>
    <w:rsid w:val="0001708B"/>
    <w:rsid w:val="00022FFC"/>
    <w:rsid w:val="00043401"/>
    <w:rsid w:val="000461BA"/>
    <w:rsid w:val="00067DA6"/>
    <w:rsid w:val="000821C4"/>
    <w:rsid w:val="000823EB"/>
    <w:rsid w:val="000843E3"/>
    <w:rsid w:val="00084B8F"/>
    <w:rsid w:val="00091D51"/>
    <w:rsid w:val="0009426F"/>
    <w:rsid w:val="000B3A0D"/>
    <w:rsid w:val="000B3B5F"/>
    <w:rsid w:val="000C46DD"/>
    <w:rsid w:val="000C73C6"/>
    <w:rsid w:val="000E0999"/>
    <w:rsid w:val="000E0E02"/>
    <w:rsid w:val="0010369E"/>
    <w:rsid w:val="00115952"/>
    <w:rsid w:val="00115B03"/>
    <w:rsid w:val="0014373A"/>
    <w:rsid w:val="001626AB"/>
    <w:rsid w:val="00165A93"/>
    <w:rsid w:val="00171988"/>
    <w:rsid w:val="00187BF0"/>
    <w:rsid w:val="00191952"/>
    <w:rsid w:val="001B7AB7"/>
    <w:rsid w:val="001C209D"/>
    <w:rsid w:val="001C5836"/>
    <w:rsid w:val="001F114F"/>
    <w:rsid w:val="002112CD"/>
    <w:rsid w:val="00214B17"/>
    <w:rsid w:val="00217ADF"/>
    <w:rsid w:val="00226468"/>
    <w:rsid w:val="00226CFA"/>
    <w:rsid w:val="002564F9"/>
    <w:rsid w:val="002714EF"/>
    <w:rsid w:val="00297400"/>
    <w:rsid w:val="002C5008"/>
    <w:rsid w:val="002D3121"/>
    <w:rsid w:val="002E4117"/>
    <w:rsid w:val="002E6C6F"/>
    <w:rsid w:val="002F6A13"/>
    <w:rsid w:val="00314137"/>
    <w:rsid w:val="003421AD"/>
    <w:rsid w:val="00342AE4"/>
    <w:rsid w:val="00354ED4"/>
    <w:rsid w:val="00366C2D"/>
    <w:rsid w:val="003B5EEB"/>
    <w:rsid w:val="003D4FA5"/>
    <w:rsid w:val="003D586E"/>
    <w:rsid w:val="003F19E6"/>
    <w:rsid w:val="003F19F4"/>
    <w:rsid w:val="003F3E72"/>
    <w:rsid w:val="004114BF"/>
    <w:rsid w:val="0041152E"/>
    <w:rsid w:val="00421DFA"/>
    <w:rsid w:val="0042677D"/>
    <w:rsid w:val="00430B5A"/>
    <w:rsid w:val="00435A67"/>
    <w:rsid w:val="00445BA1"/>
    <w:rsid w:val="00452B3A"/>
    <w:rsid w:val="00466142"/>
    <w:rsid w:val="00466EA0"/>
    <w:rsid w:val="0047071D"/>
    <w:rsid w:val="004843B2"/>
    <w:rsid w:val="004C0CAF"/>
    <w:rsid w:val="004C2567"/>
    <w:rsid w:val="004C58FA"/>
    <w:rsid w:val="004D04BF"/>
    <w:rsid w:val="004D3CF0"/>
    <w:rsid w:val="0050224E"/>
    <w:rsid w:val="00523D91"/>
    <w:rsid w:val="00526BB8"/>
    <w:rsid w:val="005763D7"/>
    <w:rsid w:val="00576940"/>
    <w:rsid w:val="005B599E"/>
    <w:rsid w:val="005C325B"/>
    <w:rsid w:val="005C550C"/>
    <w:rsid w:val="005C5A4F"/>
    <w:rsid w:val="005C70DE"/>
    <w:rsid w:val="005D0AFF"/>
    <w:rsid w:val="005D0EDE"/>
    <w:rsid w:val="005D68B1"/>
    <w:rsid w:val="005E6F6D"/>
    <w:rsid w:val="005E7587"/>
    <w:rsid w:val="005F7886"/>
    <w:rsid w:val="006035C5"/>
    <w:rsid w:val="006149A5"/>
    <w:rsid w:val="0062139F"/>
    <w:rsid w:val="00623B50"/>
    <w:rsid w:val="006249B6"/>
    <w:rsid w:val="006260EB"/>
    <w:rsid w:val="006261E6"/>
    <w:rsid w:val="0064670D"/>
    <w:rsid w:val="00652356"/>
    <w:rsid w:val="00666956"/>
    <w:rsid w:val="006733A5"/>
    <w:rsid w:val="006A62BE"/>
    <w:rsid w:val="006B077B"/>
    <w:rsid w:val="006C2216"/>
    <w:rsid w:val="006D1BCC"/>
    <w:rsid w:val="006D5D5B"/>
    <w:rsid w:val="006E29DF"/>
    <w:rsid w:val="006F7A69"/>
    <w:rsid w:val="007011EF"/>
    <w:rsid w:val="0070223F"/>
    <w:rsid w:val="00712687"/>
    <w:rsid w:val="007204C7"/>
    <w:rsid w:val="00722FE6"/>
    <w:rsid w:val="0072517B"/>
    <w:rsid w:val="00736EE2"/>
    <w:rsid w:val="00740883"/>
    <w:rsid w:val="0076324B"/>
    <w:rsid w:val="00776C8C"/>
    <w:rsid w:val="0078406F"/>
    <w:rsid w:val="007867BD"/>
    <w:rsid w:val="007A2B36"/>
    <w:rsid w:val="007B7D58"/>
    <w:rsid w:val="007C0BD7"/>
    <w:rsid w:val="008032C5"/>
    <w:rsid w:val="008058F3"/>
    <w:rsid w:val="00806353"/>
    <w:rsid w:val="00830421"/>
    <w:rsid w:val="0083501E"/>
    <w:rsid w:val="00844019"/>
    <w:rsid w:val="00845152"/>
    <w:rsid w:val="00870419"/>
    <w:rsid w:val="00871675"/>
    <w:rsid w:val="00877A25"/>
    <w:rsid w:val="00891D48"/>
    <w:rsid w:val="008950C3"/>
    <w:rsid w:val="008A0CBE"/>
    <w:rsid w:val="008A5F4B"/>
    <w:rsid w:val="008B1582"/>
    <w:rsid w:val="008C6873"/>
    <w:rsid w:val="008D7701"/>
    <w:rsid w:val="008F59AC"/>
    <w:rsid w:val="008F5CF5"/>
    <w:rsid w:val="0092291C"/>
    <w:rsid w:val="0092402C"/>
    <w:rsid w:val="00935FC3"/>
    <w:rsid w:val="00936BBD"/>
    <w:rsid w:val="009610FC"/>
    <w:rsid w:val="0096644B"/>
    <w:rsid w:val="00970F61"/>
    <w:rsid w:val="009712FA"/>
    <w:rsid w:val="009853FA"/>
    <w:rsid w:val="009854ED"/>
    <w:rsid w:val="009B551E"/>
    <w:rsid w:val="009C701D"/>
    <w:rsid w:val="009D7892"/>
    <w:rsid w:val="00A008EF"/>
    <w:rsid w:val="00A213C8"/>
    <w:rsid w:val="00A358E1"/>
    <w:rsid w:val="00A44901"/>
    <w:rsid w:val="00A53F47"/>
    <w:rsid w:val="00A65227"/>
    <w:rsid w:val="00A86B58"/>
    <w:rsid w:val="00AA2006"/>
    <w:rsid w:val="00AC09C0"/>
    <w:rsid w:val="00AD60F9"/>
    <w:rsid w:val="00B146D8"/>
    <w:rsid w:val="00B23E67"/>
    <w:rsid w:val="00B279CE"/>
    <w:rsid w:val="00B64258"/>
    <w:rsid w:val="00B70058"/>
    <w:rsid w:val="00B70888"/>
    <w:rsid w:val="00B94055"/>
    <w:rsid w:val="00B947E2"/>
    <w:rsid w:val="00BA4789"/>
    <w:rsid w:val="00BB4986"/>
    <w:rsid w:val="00BD16DA"/>
    <w:rsid w:val="00BE6D1D"/>
    <w:rsid w:val="00BF155F"/>
    <w:rsid w:val="00C06F4A"/>
    <w:rsid w:val="00C1693B"/>
    <w:rsid w:val="00C24557"/>
    <w:rsid w:val="00C474FD"/>
    <w:rsid w:val="00C60B76"/>
    <w:rsid w:val="00C65F18"/>
    <w:rsid w:val="00C67CEF"/>
    <w:rsid w:val="00C71DAA"/>
    <w:rsid w:val="00C86F18"/>
    <w:rsid w:val="00CD56CB"/>
    <w:rsid w:val="00CD7C94"/>
    <w:rsid w:val="00CF1C59"/>
    <w:rsid w:val="00D22965"/>
    <w:rsid w:val="00D52245"/>
    <w:rsid w:val="00D535A7"/>
    <w:rsid w:val="00D547EC"/>
    <w:rsid w:val="00D577A0"/>
    <w:rsid w:val="00D63482"/>
    <w:rsid w:val="00D95CD4"/>
    <w:rsid w:val="00DA0D84"/>
    <w:rsid w:val="00DD5324"/>
    <w:rsid w:val="00DF16A5"/>
    <w:rsid w:val="00E03000"/>
    <w:rsid w:val="00E32355"/>
    <w:rsid w:val="00E440A7"/>
    <w:rsid w:val="00E4762E"/>
    <w:rsid w:val="00E522B8"/>
    <w:rsid w:val="00E71E16"/>
    <w:rsid w:val="00E73F48"/>
    <w:rsid w:val="00E855CC"/>
    <w:rsid w:val="00E86E05"/>
    <w:rsid w:val="00E901BA"/>
    <w:rsid w:val="00E90A8E"/>
    <w:rsid w:val="00EC494D"/>
    <w:rsid w:val="00EE53B7"/>
    <w:rsid w:val="00EF40F6"/>
    <w:rsid w:val="00EF7776"/>
    <w:rsid w:val="00F05EE5"/>
    <w:rsid w:val="00F30876"/>
    <w:rsid w:val="00F30C0E"/>
    <w:rsid w:val="00F45039"/>
    <w:rsid w:val="00F50994"/>
    <w:rsid w:val="00F64177"/>
    <w:rsid w:val="00F80FBA"/>
    <w:rsid w:val="00FA73B2"/>
    <w:rsid w:val="00FB3D25"/>
    <w:rsid w:val="00FB4DDA"/>
    <w:rsid w:val="00FC5951"/>
    <w:rsid w:val="00FE40C6"/>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style w:type="paragraph" w:default="1" w:styleId="Normale">
    <w:name w:val="Normal"/>
    <w:qFormat/>
    <w:rsid w:val="005C325B"/>
    <w:pPr>
      <w:spacing w:line="360" w:lineRule="auto"/>
      <w:jc w:val="both"/>
    </w:pPr>
    <w:rPr>
      <w:rFonts w:ascii="Times New Roman" w:hAnsi="Times New Roman"/>
    </w:rPr>
  </w:style>
  <w:style w:type="paragraph" w:styleId="Titolo1">
    <w:name w:val="heading 1"/>
    <w:basedOn w:val="Normale"/>
    <w:next w:val="Normale"/>
    <w:link w:val="Titolo1Carattere"/>
    <w:rsid w:val="005C32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rsid w:val="005C32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rsid w:val="006E29D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rsid w:val="00214B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7B7D58"/>
    <w:rPr>
      <w:rFonts w:ascii="Lucida Grande" w:hAnsi="Lucida Grande"/>
    </w:rPr>
  </w:style>
  <w:style w:type="character" w:customStyle="1" w:styleId="MappadocumentoCarattere">
    <w:name w:val="Mappa documento Carattere"/>
    <w:basedOn w:val="Carpredefinitoparagrafo"/>
    <w:link w:val="Mappadocumento"/>
    <w:uiPriority w:val="99"/>
    <w:semiHidden/>
    <w:rsid w:val="007B7D58"/>
    <w:rPr>
      <w:rFonts w:ascii="Lucida Grande" w:hAnsi="Lucida Grande"/>
    </w:rPr>
  </w:style>
  <w:style w:type="paragraph" w:customStyle="1" w:styleId="Default">
    <w:name w:val="Default"/>
    <w:rsid w:val="00452B3A"/>
    <w:pPr>
      <w:widowControl w:val="0"/>
      <w:autoSpaceDE w:val="0"/>
      <w:autoSpaceDN w:val="0"/>
      <w:adjustRightInd w:val="0"/>
    </w:pPr>
    <w:rPr>
      <w:rFonts w:ascii="Arial" w:eastAsia="Times New Roman" w:hAnsi="Arial" w:cs="Arial"/>
      <w:color w:val="000000"/>
      <w:lang w:eastAsia="it-IT"/>
    </w:rPr>
  </w:style>
  <w:style w:type="paragraph" w:styleId="Pidipagina">
    <w:name w:val="footer"/>
    <w:basedOn w:val="Normale"/>
    <w:link w:val="PidipaginaCarattere"/>
    <w:uiPriority w:val="99"/>
    <w:semiHidden/>
    <w:unhideWhenUsed/>
    <w:rsid w:val="00E86E0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86E05"/>
  </w:style>
  <w:style w:type="character" w:styleId="Numeropagina">
    <w:name w:val="page number"/>
    <w:basedOn w:val="Carpredefinitoparagrafo"/>
    <w:uiPriority w:val="99"/>
    <w:semiHidden/>
    <w:unhideWhenUsed/>
    <w:rsid w:val="00E86E05"/>
  </w:style>
  <w:style w:type="table" w:styleId="Grigliatabella">
    <w:name w:val="Table Grid"/>
    <w:basedOn w:val="Tabellanormale"/>
    <w:rsid w:val="00E522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rsid w:val="00576940"/>
    <w:pPr>
      <w:ind w:left="720"/>
      <w:contextualSpacing/>
    </w:pPr>
  </w:style>
  <w:style w:type="character" w:styleId="Collegamentoipertestuale">
    <w:name w:val="Hyperlink"/>
    <w:basedOn w:val="Carpredefinitoparagrafo"/>
    <w:rsid w:val="00AC09C0"/>
    <w:rPr>
      <w:color w:val="0000FF" w:themeColor="hyperlink"/>
      <w:u w:val="single"/>
    </w:rPr>
  </w:style>
  <w:style w:type="character" w:styleId="Collegamentovisitato">
    <w:name w:val="FollowedHyperlink"/>
    <w:basedOn w:val="Carpredefinitoparagrafo"/>
    <w:rsid w:val="004C58FA"/>
    <w:rPr>
      <w:color w:val="800080" w:themeColor="followedHyperlink"/>
      <w:u w:val="single"/>
    </w:rPr>
  </w:style>
  <w:style w:type="character" w:customStyle="1" w:styleId="Titolo1Carattere">
    <w:name w:val="Titolo 1 Carattere"/>
    <w:basedOn w:val="Carpredefinitoparagrafo"/>
    <w:link w:val="Titolo1"/>
    <w:rsid w:val="005C325B"/>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predefinitoparagrafo"/>
    <w:link w:val="Titolo2"/>
    <w:rsid w:val="005C325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6E29DF"/>
    <w:rPr>
      <w:rFonts w:asciiTheme="majorHAnsi" w:eastAsiaTheme="majorEastAsia" w:hAnsiTheme="majorHAnsi" w:cstheme="majorBidi"/>
      <w:b/>
      <w:bCs/>
      <w:color w:val="4F81BD" w:themeColor="accent1"/>
    </w:rPr>
  </w:style>
  <w:style w:type="paragraph" w:customStyle="1" w:styleId="Stile4">
    <w:name w:val="Stile4"/>
    <w:basedOn w:val="Titolo4"/>
    <w:qFormat/>
    <w:rsid w:val="00214B17"/>
    <w:rPr>
      <w:b w:val="0"/>
    </w:rPr>
  </w:style>
  <w:style w:type="character" w:customStyle="1" w:styleId="Titolo4Carattere">
    <w:name w:val="Titolo 4 Carattere"/>
    <w:basedOn w:val="Carpredefinitoparagrafo"/>
    <w:link w:val="Titolo4"/>
    <w:rsid w:val="00214B17"/>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rsid w:val="0065235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52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hyperlink" Target="http://www.ung.uz" TargetMode="External"/><Relationship Id="rId26" Type="http://schemas.openxmlformats.org/officeDocument/2006/relationships/hyperlink" Target="http://www.cnpc.com" TargetMode="External"/><Relationship Id="rId3" Type="http://schemas.openxmlformats.org/officeDocument/2006/relationships/styles" Target="styles.xml"/><Relationship Id="rId21" Type="http://schemas.openxmlformats.org/officeDocument/2006/relationships/hyperlink" Target="http://www.ei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ogj.com" TargetMode="External"/><Relationship Id="rId25" Type="http://schemas.openxmlformats.org/officeDocument/2006/relationships/hyperlink" Target="http://www.gazprom.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a.com" TargetMode="External"/><Relationship Id="rId20" Type="http://schemas.openxmlformats.org/officeDocument/2006/relationships/hyperlink" Target="http://pipelinesinternational.com" TargetMode="External"/><Relationship Id="rId29" Type="http://schemas.openxmlformats.org/officeDocument/2006/relationships/hyperlink" Target="http://www.cs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lukoil.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uzbekcoal.uz" TargetMode="External"/><Relationship Id="rId28" Type="http://schemas.openxmlformats.org/officeDocument/2006/relationships/hyperlink" Target="http://www.eiu.com" TargetMode="External"/><Relationship Id="rId10" Type="http://schemas.openxmlformats.org/officeDocument/2006/relationships/image" Target="media/image1.gif"/><Relationship Id="rId19" Type="http://schemas.openxmlformats.org/officeDocument/2006/relationships/hyperlink" Target="http://www.uzbekenergo.uz"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 Id="rId22" Type="http://schemas.openxmlformats.org/officeDocument/2006/relationships/hyperlink" Target="http://www.silkroadstudies.org" TargetMode="External"/><Relationship Id="rId27" Type="http://schemas.openxmlformats.org/officeDocument/2006/relationships/hyperlink" Target="http://www.tethyspetroleum.com" TargetMode="External"/><Relationship Id="rId30" Type="http://schemas.openxmlformats.org/officeDocument/2006/relationships/hyperlink" Target="http://www.worldbank.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8"/>
  <c:chart>
    <c:title>
      <c:tx>
        <c:rich>
          <a:bodyPr/>
          <a:lstStyle/>
          <a:p>
            <a:pPr>
              <a:defRPr/>
            </a:pPr>
            <a:r>
              <a:rPr lang="it-IT" sz="1200"/>
              <a:t>Produzione di energia elettrica per conbustibile</a:t>
            </a:r>
          </a:p>
        </c:rich>
      </c:tx>
    </c:title>
    <c:view3D>
      <c:rotX val="75"/>
      <c:perspective val="30"/>
    </c:view3D>
    <c:plotArea>
      <c:layout/>
      <c:pie3DChart>
        <c:varyColors val="1"/>
        <c:ser>
          <c:idx val="0"/>
          <c:order val="0"/>
          <c:tx>
            <c:strRef>
              <c:f>Foglio1!$B$1</c:f>
              <c:strCache>
                <c:ptCount val="1"/>
                <c:pt idx="0">
                  <c:v>Produzione energia elettrica</c:v>
                </c:pt>
              </c:strCache>
            </c:strRef>
          </c:tx>
          <c:dLbls>
            <c:showPercent val="1"/>
          </c:dLbls>
          <c:cat>
            <c:strRef>
              <c:f>Foglio1!$A$2:$A$5</c:f>
              <c:strCache>
                <c:ptCount val="4"/>
                <c:pt idx="0">
                  <c:v>Carbone</c:v>
                </c:pt>
                <c:pt idx="1">
                  <c:v>Petrolio</c:v>
                </c:pt>
                <c:pt idx="2">
                  <c:v>Gas Naturale</c:v>
                </c:pt>
                <c:pt idx="3">
                  <c:v>Idroelettrico</c:v>
                </c:pt>
              </c:strCache>
            </c:strRef>
          </c:cat>
          <c:val>
            <c:numRef>
              <c:f>Foglio1!$B$2:$B$5</c:f>
              <c:numCache>
                <c:formatCode>General</c:formatCode>
                <c:ptCount val="4"/>
                <c:pt idx="0">
                  <c:v>2058</c:v>
                </c:pt>
                <c:pt idx="1">
                  <c:v>1037</c:v>
                </c:pt>
                <c:pt idx="2">
                  <c:v>37495</c:v>
                </c:pt>
                <c:pt idx="3">
                  <c:v>9330</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style val="26"/>
  <c:chart>
    <c:title>
      <c:tx>
        <c:rich>
          <a:bodyPr/>
          <a:lstStyle/>
          <a:p>
            <a:pPr>
              <a:defRPr/>
            </a:pPr>
            <a:r>
              <a:rPr lang="it-IT" sz="1200"/>
              <a:t>Offerta netta di energia elettrica</a:t>
            </a:r>
          </a:p>
        </c:rich>
      </c:tx>
    </c:title>
    <c:plotArea>
      <c:layout/>
      <c:pieChart>
        <c:varyColors val="1"/>
        <c:ser>
          <c:idx val="0"/>
          <c:order val="0"/>
          <c:tx>
            <c:strRef>
              <c:f>Foglio1!$B$1</c:f>
              <c:strCache>
                <c:ptCount val="1"/>
                <c:pt idx="0">
                  <c:v>Offerta di enegia elettrica</c:v>
                </c:pt>
              </c:strCache>
            </c:strRef>
          </c:tx>
          <c:dLbls>
            <c:showPercent val="1"/>
          </c:dLbls>
          <c:cat>
            <c:strRef>
              <c:f>Foglio1!$A$2:$A$4</c:f>
              <c:strCache>
                <c:ptCount val="3"/>
                <c:pt idx="0">
                  <c:v>Consumo</c:v>
                </c:pt>
                <c:pt idx="1">
                  <c:v>Perdite</c:v>
                </c:pt>
                <c:pt idx="2">
                  <c:v>Consumo industria energetica</c:v>
                </c:pt>
              </c:strCache>
            </c:strRef>
          </c:cat>
          <c:val>
            <c:numRef>
              <c:f>Foglio1!$B$2:$B$4</c:f>
              <c:numCache>
                <c:formatCode>General</c:formatCode>
                <c:ptCount val="3"/>
                <c:pt idx="0">
                  <c:v>41162</c:v>
                </c:pt>
                <c:pt idx="1">
                  <c:v>4391</c:v>
                </c:pt>
                <c:pt idx="2">
                  <c:v>4263</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style val="18"/>
  <c:chart>
    <c:title>
      <c:tx>
        <c:rich>
          <a:bodyPr/>
          <a:lstStyle/>
          <a:p>
            <a:pPr>
              <a:defRPr/>
            </a:pPr>
            <a:r>
              <a:rPr lang="it-IT" sz="1200"/>
              <a:t>Consumo di energia elettrica per settore</a:t>
            </a:r>
          </a:p>
        </c:rich>
      </c:tx>
    </c:title>
    <c:view3D>
      <c:rotX val="75"/>
      <c:perspective val="30"/>
    </c:view3D>
    <c:plotArea>
      <c:layout/>
      <c:pie3DChart>
        <c:varyColors val="1"/>
        <c:ser>
          <c:idx val="0"/>
          <c:order val="0"/>
          <c:tx>
            <c:strRef>
              <c:f>Foglio1!$B$1</c:f>
              <c:strCache>
                <c:ptCount val="1"/>
                <c:pt idx="0">
                  <c:v>Consumo di energia elettrica per settore</c:v>
                </c:pt>
              </c:strCache>
            </c:strRef>
          </c:tx>
          <c:dLbls>
            <c:showPercent val="1"/>
          </c:dLbls>
          <c:cat>
            <c:strRef>
              <c:f>Foglio1!$A$2:$A$6</c:f>
              <c:strCache>
                <c:ptCount val="5"/>
                <c:pt idx="0">
                  <c:v>Industria</c:v>
                </c:pt>
                <c:pt idx="1">
                  <c:v>Trasporti</c:v>
                </c:pt>
                <c:pt idx="2">
                  <c:v>Residenze</c:v>
                </c:pt>
                <c:pt idx="3">
                  <c:v>Commercio e servizi</c:v>
                </c:pt>
                <c:pt idx="4">
                  <c:v>Agricoltura</c:v>
                </c:pt>
              </c:strCache>
            </c:strRef>
          </c:cat>
          <c:val>
            <c:numRef>
              <c:f>Foglio1!$B$2:$B$6</c:f>
              <c:numCache>
                <c:formatCode>General</c:formatCode>
                <c:ptCount val="5"/>
                <c:pt idx="0">
                  <c:v>15766</c:v>
                </c:pt>
                <c:pt idx="1">
                  <c:v>1355</c:v>
                </c:pt>
                <c:pt idx="2">
                  <c:v>7463</c:v>
                </c:pt>
                <c:pt idx="3">
                  <c:v>3190</c:v>
                </c:pt>
                <c:pt idx="4">
                  <c:v>13388</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9DDF-7878-42C0-AA23-DD769D23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3769</Words>
  <Characters>21484</Characters>
  <Application>Microsoft Office Word</Application>
  <DocSecurity>0</DocSecurity>
  <Lines>179</Lines>
  <Paragraphs>50</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
      <vt:lpstr/>
      <vt:lpstr>UZBEKISTAN: PROFILO ENERGETICO</vt:lpstr>
      <vt:lpstr>    Elettricità</vt:lpstr>
      <vt:lpstr>    </vt:lpstr>
      <vt:lpstr>    Carbone</vt:lpstr>
      <vt:lpstr>    </vt:lpstr>
      <vt:lpstr>    Petrolio</vt:lpstr>
      <vt:lpstr>    /</vt:lpstr>
      <vt:lpstr>    Gas</vt:lpstr>
      <vt:lpstr>        RETE DI PIPELINE</vt:lpstr>
    </vt:vector>
  </TitlesOfParts>
  <Company>Ambasciata</Company>
  <LinksUpToDate>false</LinksUpToDate>
  <CharactersWithSpaces>25203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Commerciale</cp:lastModifiedBy>
  <cp:revision>2</cp:revision>
  <dcterms:created xsi:type="dcterms:W3CDTF">2013-05-29T05:31:00Z</dcterms:created>
  <dcterms:modified xsi:type="dcterms:W3CDTF">2013-05-29T05:31:00Z</dcterms:modified>
</cp:coreProperties>
</file>