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4C" w:rsidRPr="009E0765" w:rsidRDefault="00FE576C" w:rsidP="00D8128B">
      <w:pPr>
        <w:pStyle w:val="Heading1"/>
        <w:pBdr>
          <w:bottom w:val="single" w:sz="4" w:space="1" w:color="auto"/>
        </w:pBdr>
        <w:rPr>
          <w:sz w:val="24"/>
          <w:szCs w:val="24"/>
        </w:rPr>
      </w:pPr>
      <w:r w:rsidRPr="009E0765">
        <w:rPr>
          <w:sz w:val="24"/>
          <w:szCs w:val="24"/>
        </w:rPr>
        <w:t>SUMMARY</w:t>
      </w:r>
    </w:p>
    <w:p w:rsidR="00AB3B98" w:rsidRDefault="00D076E9" w:rsidP="009E0765">
      <w:pPr>
        <w:pStyle w:val="ListParagraph"/>
        <w:spacing w:after="0"/>
        <w:ind w:left="0"/>
        <w:rPr>
          <w:sz w:val="24"/>
          <w:szCs w:val="24"/>
          <w:lang w:val="en-GB"/>
        </w:rPr>
      </w:pPr>
      <w:r w:rsidRPr="009E0765">
        <w:rPr>
          <w:sz w:val="24"/>
          <w:szCs w:val="24"/>
          <w:lang w:val="en-GB"/>
        </w:rPr>
        <w:t xml:space="preserve">President Muhammadu Buhari presented the </w:t>
      </w:r>
      <w:r w:rsidR="001A288E" w:rsidRPr="009E0765">
        <w:rPr>
          <w:sz w:val="24"/>
          <w:szCs w:val="24"/>
          <w:lang w:val="en-GB"/>
        </w:rPr>
        <w:t xml:space="preserve">proposed </w:t>
      </w:r>
      <w:r w:rsidRPr="009E0765">
        <w:rPr>
          <w:sz w:val="24"/>
          <w:szCs w:val="24"/>
          <w:lang w:val="en-GB"/>
        </w:rPr>
        <w:t>20</w:t>
      </w:r>
      <w:r w:rsidR="002B57C7" w:rsidRPr="009E0765">
        <w:rPr>
          <w:sz w:val="24"/>
          <w:szCs w:val="24"/>
          <w:lang w:val="en-GB"/>
        </w:rPr>
        <w:t>2</w:t>
      </w:r>
      <w:r w:rsidR="00856BDC" w:rsidRPr="009E0765">
        <w:rPr>
          <w:sz w:val="24"/>
          <w:szCs w:val="24"/>
          <w:lang w:val="en-GB"/>
        </w:rPr>
        <w:t>1</w:t>
      </w:r>
      <w:r w:rsidRPr="009E0765">
        <w:rPr>
          <w:sz w:val="24"/>
          <w:szCs w:val="24"/>
          <w:lang w:val="en-GB"/>
        </w:rPr>
        <w:t xml:space="preserve"> budget to the National Assembly on </w:t>
      </w:r>
      <w:r w:rsidR="002B57C7" w:rsidRPr="009E0765">
        <w:rPr>
          <w:sz w:val="24"/>
          <w:szCs w:val="24"/>
          <w:lang w:val="en-GB"/>
        </w:rPr>
        <w:t>October 8, 20</w:t>
      </w:r>
      <w:r w:rsidR="00856BDC" w:rsidRPr="009E0765">
        <w:rPr>
          <w:sz w:val="24"/>
          <w:szCs w:val="24"/>
          <w:lang w:val="en-GB"/>
        </w:rPr>
        <w:t>20</w:t>
      </w:r>
      <w:r w:rsidRPr="009E0765">
        <w:rPr>
          <w:sz w:val="24"/>
          <w:szCs w:val="24"/>
          <w:lang w:val="en-GB"/>
        </w:rPr>
        <w:t xml:space="preserve">. </w:t>
      </w:r>
      <w:r w:rsidR="00C315C2">
        <w:rPr>
          <w:sz w:val="24"/>
          <w:szCs w:val="24"/>
          <w:lang w:val="en-GB"/>
        </w:rPr>
        <w:t>Labeled the Budget of Economic Recovery and Resilience</w:t>
      </w:r>
      <w:r w:rsidR="008C333A">
        <w:rPr>
          <w:sz w:val="24"/>
          <w:szCs w:val="24"/>
          <w:lang w:val="en-GB"/>
        </w:rPr>
        <w:t>, t</w:t>
      </w:r>
      <w:r w:rsidRPr="009E0765">
        <w:rPr>
          <w:sz w:val="24"/>
          <w:szCs w:val="24"/>
          <w:lang w:val="en-GB"/>
        </w:rPr>
        <w:t>h</w:t>
      </w:r>
      <w:r w:rsidR="002B57C7" w:rsidRPr="009E0765">
        <w:rPr>
          <w:sz w:val="24"/>
          <w:szCs w:val="24"/>
          <w:lang w:val="en-GB"/>
        </w:rPr>
        <w:t xml:space="preserve">e early presentation </w:t>
      </w:r>
      <w:r w:rsidR="008C333A">
        <w:rPr>
          <w:sz w:val="24"/>
          <w:szCs w:val="24"/>
          <w:lang w:val="en-GB"/>
        </w:rPr>
        <w:t>followed</w:t>
      </w:r>
      <w:r w:rsidR="002B57C7" w:rsidRPr="009E0765">
        <w:rPr>
          <w:sz w:val="24"/>
          <w:szCs w:val="24"/>
          <w:lang w:val="en-GB"/>
        </w:rPr>
        <w:t xml:space="preserve"> the </w:t>
      </w:r>
      <w:r w:rsidR="00856BDC" w:rsidRPr="009E0765">
        <w:rPr>
          <w:sz w:val="24"/>
          <w:szCs w:val="24"/>
          <w:lang w:val="en-GB"/>
        </w:rPr>
        <w:t xml:space="preserve">precedent set </w:t>
      </w:r>
      <w:r w:rsidR="00BE7F5A">
        <w:rPr>
          <w:sz w:val="24"/>
          <w:szCs w:val="24"/>
          <w:lang w:val="en-GB"/>
        </w:rPr>
        <w:t>last year</w:t>
      </w:r>
      <w:r w:rsidR="00856BDC" w:rsidRPr="009E0765">
        <w:rPr>
          <w:sz w:val="24"/>
          <w:szCs w:val="24"/>
          <w:lang w:val="en-GB"/>
        </w:rPr>
        <w:t xml:space="preserve"> when the </w:t>
      </w:r>
      <w:r w:rsidR="00BE7F5A">
        <w:rPr>
          <w:sz w:val="24"/>
          <w:szCs w:val="24"/>
          <w:lang w:val="en-GB"/>
        </w:rPr>
        <w:t xml:space="preserve">draft </w:t>
      </w:r>
      <w:r w:rsidR="00856BDC" w:rsidRPr="009E0765">
        <w:rPr>
          <w:sz w:val="24"/>
          <w:szCs w:val="24"/>
          <w:lang w:val="en-GB"/>
        </w:rPr>
        <w:t xml:space="preserve">2020 budget was presented to the National Assembly early and </w:t>
      </w:r>
      <w:r w:rsidR="00881FBD">
        <w:rPr>
          <w:sz w:val="24"/>
          <w:szCs w:val="24"/>
          <w:lang w:val="en-GB"/>
        </w:rPr>
        <w:t xml:space="preserve">was </w:t>
      </w:r>
      <w:r w:rsidR="00856BDC" w:rsidRPr="009E0765">
        <w:rPr>
          <w:sz w:val="24"/>
          <w:szCs w:val="24"/>
          <w:lang w:val="en-GB"/>
        </w:rPr>
        <w:t xml:space="preserve">passed in time to revert to the January-December fiscal year. The </w:t>
      </w:r>
      <w:r w:rsidR="00B66A9B" w:rsidRPr="009E0765">
        <w:rPr>
          <w:sz w:val="24"/>
          <w:szCs w:val="24"/>
          <w:lang w:val="en-GB"/>
        </w:rPr>
        <w:t xml:space="preserve">2021 budget </w:t>
      </w:r>
      <w:r w:rsidR="00090EFC">
        <w:rPr>
          <w:sz w:val="24"/>
          <w:szCs w:val="24"/>
          <w:lang w:val="en-GB"/>
        </w:rPr>
        <w:t xml:space="preserve">is presented </w:t>
      </w:r>
      <w:r w:rsidR="00EC0AA5">
        <w:rPr>
          <w:sz w:val="24"/>
          <w:szCs w:val="24"/>
          <w:lang w:val="en-GB"/>
        </w:rPr>
        <w:t>as the country reels from</w:t>
      </w:r>
      <w:r w:rsidR="00B66A9B" w:rsidRPr="009E0765">
        <w:rPr>
          <w:sz w:val="24"/>
          <w:szCs w:val="24"/>
          <w:lang w:val="en-GB"/>
        </w:rPr>
        <w:t xml:space="preserve"> the</w:t>
      </w:r>
      <w:r w:rsidR="008F350E" w:rsidRPr="009E0765">
        <w:rPr>
          <w:sz w:val="24"/>
          <w:szCs w:val="24"/>
          <w:lang w:val="en-GB"/>
        </w:rPr>
        <w:t xml:space="preserve"> </w:t>
      </w:r>
      <w:r w:rsidR="00B66A9B" w:rsidRPr="009E0765">
        <w:rPr>
          <w:sz w:val="24"/>
          <w:szCs w:val="24"/>
          <w:lang w:val="en-GB"/>
        </w:rPr>
        <w:t xml:space="preserve">economic </w:t>
      </w:r>
      <w:r w:rsidR="008F350E" w:rsidRPr="009E0765">
        <w:rPr>
          <w:sz w:val="24"/>
          <w:szCs w:val="24"/>
          <w:lang w:val="en-GB"/>
        </w:rPr>
        <w:t xml:space="preserve">impact of the Covid-19 pandemic </w:t>
      </w:r>
      <w:r w:rsidR="00B66A9B" w:rsidRPr="009E0765">
        <w:rPr>
          <w:sz w:val="24"/>
          <w:szCs w:val="24"/>
          <w:lang w:val="en-GB"/>
        </w:rPr>
        <w:t xml:space="preserve">and </w:t>
      </w:r>
      <w:r w:rsidR="008F350E" w:rsidRPr="009E0765">
        <w:rPr>
          <w:sz w:val="24"/>
          <w:szCs w:val="24"/>
          <w:lang w:val="en-GB"/>
        </w:rPr>
        <w:t>Nigeria’s imminent return to recession after</w:t>
      </w:r>
      <w:r w:rsidR="00370835">
        <w:rPr>
          <w:sz w:val="24"/>
          <w:szCs w:val="24"/>
          <w:lang w:val="en-GB"/>
        </w:rPr>
        <w:t xml:space="preserve"> barely</w:t>
      </w:r>
      <w:r w:rsidR="008F350E" w:rsidRPr="009E0765">
        <w:rPr>
          <w:sz w:val="24"/>
          <w:szCs w:val="24"/>
          <w:lang w:val="en-GB"/>
        </w:rPr>
        <w:t xml:space="preserve"> 3 years.</w:t>
      </w:r>
      <w:r w:rsidR="00AB3B98">
        <w:rPr>
          <w:sz w:val="24"/>
          <w:szCs w:val="24"/>
          <w:lang w:val="en-GB"/>
        </w:rPr>
        <w:t xml:space="preserve"> </w:t>
      </w:r>
    </w:p>
    <w:p w:rsidR="00AB3B98" w:rsidRDefault="00AB3B98" w:rsidP="009E0765">
      <w:pPr>
        <w:pStyle w:val="ListParagraph"/>
        <w:spacing w:after="0"/>
        <w:ind w:left="0"/>
        <w:rPr>
          <w:sz w:val="24"/>
          <w:szCs w:val="24"/>
          <w:lang w:val="en-GB"/>
        </w:rPr>
      </w:pPr>
    </w:p>
    <w:p w:rsidR="00D9750D" w:rsidRDefault="00CA5391" w:rsidP="009E0765">
      <w:pPr>
        <w:pStyle w:val="ListParagraph"/>
        <w:spacing w:after="0"/>
        <w:ind w:left="0"/>
        <w:rPr>
          <w:sz w:val="24"/>
          <w:szCs w:val="24"/>
          <w:lang w:val="en-GB"/>
        </w:rPr>
      </w:pPr>
      <w:r>
        <w:rPr>
          <w:sz w:val="24"/>
          <w:szCs w:val="24"/>
          <w:lang w:val="en-GB"/>
        </w:rPr>
        <w:t>Recognising the</w:t>
      </w:r>
      <w:r w:rsidR="00A45249">
        <w:rPr>
          <w:sz w:val="24"/>
          <w:szCs w:val="24"/>
          <w:lang w:val="en-GB"/>
        </w:rPr>
        <w:t xml:space="preserve"> challenging global and domestic </w:t>
      </w:r>
      <w:r w:rsidR="00483328">
        <w:rPr>
          <w:sz w:val="24"/>
          <w:szCs w:val="24"/>
          <w:lang w:val="en-GB"/>
        </w:rPr>
        <w:t xml:space="preserve">environment, the President </w:t>
      </w:r>
      <w:r w:rsidR="006C3633">
        <w:rPr>
          <w:sz w:val="24"/>
          <w:szCs w:val="24"/>
          <w:lang w:val="en-GB"/>
        </w:rPr>
        <w:t xml:space="preserve">explained the </w:t>
      </w:r>
      <w:r w:rsidR="00A442ED">
        <w:rPr>
          <w:sz w:val="24"/>
          <w:szCs w:val="24"/>
          <w:lang w:val="en-GB"/>
        </w:rPr>
        <w:t>Budget would deliver on the goals of the Economic Sustainability Plan and</w:t>
      </w:r>
      <w:r w:rsidR="00F54F82">
        <w:rPr>
          <w:sz w:val="24"/>
          <w:szCs w:val="24"/>
          <w:lang w:val="en-GB"/>
        </w:rPr>
        <w:t xml:space="preserve"> reiterated</w:t>
      </w:r>
      <w:r w:rsidR="00417F55">
        <w:rPr>
          <w:sz w:val="24"/>
          <w:szCs w:val="24"/>
          <w:lang w:val="en-GB"/>
        </w:rPr>
        <w:t xml:space="preserve"> </w:t>
      </w:r>
      <w:r w:rsidR="00370A99">
        <w:rPr>
          <w:sz w:val="24"/>
          <w:szCs w:val="24"/>
          <w:lang w:val="en-GB"/>
        </w:rPr>
        <w:t>the Government</w:t>
      </w:r>
      <w:r w:rsidR="00417F55">
        <w:rPr>
          <w:sz w:val="24"/>
          <w:szCs w:val="24"/>
          <w:lang w:val="en-GB"/>
        </w:rPr>
        <w:t xml:space="preserve">’s </w:t>
      </w:r>
      <w:r w:rsidR="00003400">
        <w:rPr>
          <w:sz w:val="24"/>
          <w:szCs w:val="24"/>
          <w:lang w:val="en-GB"/>
        </w:rPr>
        <w:t>commit</w:t>
      </w:r>
      <w:r w:rsidR="00417F55">
        <w:rPr>
          <w:sz w:val="24"/>
          <w:szCs w:val="24"/>
          <w:lang w:val="en-GB"/>
        </w:rPr>
        <w:t>ment to lifting 100</w:t>
      </w:r>
      <w:r w:rsidR="00CC6EB2">
        <w:rPr>
          <w:sz w:val="24"/>
          <w:szCs w:val="24"/>
          <w:lang w:val="en-GB"/>
        </w:rPr>
        <w:t xml:space="preserve"> m</w:t>
      </w:r>
      <w:r w:rsidR="00417F55">
        <w:rPr>
          <w:sz w:val="24"/>
          <w:szCs w:val="24"/>
          <w:lang w:val="en-GB"/>
        </w:rPr>
        <w:t xml:space="preserve">illion Nigerians out of poverty </w:t>
      </w:r>
      <w:r w:rsidR="00BE6CDB">
        <w:rPr>
          <w:sz w:val="24"/>
          <w:szCs w:val="24"/>
          <w:lang w:val="en-GB"/>
        </w:rPr>
        <w:t>over</w:t>
      </w:r>
      <w:r w:rsidR="00417F55">
        <w:rPr>
          <w:sz w:val="24"/>
          <w:szCs w:val="24"/>
          <w:lang w:val="en-GB"/>
        </w:rPr>
        <w:t xml:space="preserve"> the next 10 years.</w:t>
      </w:r>
      <w:r w:rsidR="0099762A">
        <w:rPr>
          <w:sz w:val="24"/>
          <w:szCs w:val="24"/>
          <w:lang w:val="en-GB"/>
        </w:rPr>
        <w:t xml:space="preserve"> Nevertheless,</w:t>
      </w:r>
      <w:r w:rsidR="002F12CF">
        <w:rPr>
          <w:sz w:val="24"/>
          <w:szCs w:val="24"/>
          <w:lang w:val="en-GB"/>
        </w:rPr>
        <w:t xml:space="preserve"> the </w:t>
      </w:r>
      <w:r w:rsidR="008048FE">
        <w:rPr>
          <w:sz w:val="24"/>
          <w:szCs w:val="24"/>
          <w:lang w:val="en-GB"/>
        </w:rPr>
        <w:t xml:space="preserve">proposed budget’s credibility will depend to a large extent on the </w:t>
      </w:r>
      <w:r w:rsidR="00395873">
        <w:rPr>
          <w:sz w:val="24"/>
          <w:szCs w:val="24"/>
          <w:lang w:val="en-GB"/>
        </w:rPr>
        <w:t>underpinning parameters and fiscal assumptions</w:t>
      </w:r>
      <w:r w:rsidR="00025F66">
        <w:rPr>
          <w:sz w:val="24"/>
          <w:szCs w:val="24"/>
          <w:lang w:val="en-GB"/>
        </w:rPr>
        <w:t>; while the figures relating to oil price and production sound reasonable</w:t>
      </w:r>
      <w:r w:rsidR="00D234AA">
        <w:rPr>
          <w:sz w:val="24"/>
          <w:szCs w:val="24"/>
          <w:lang w:val="en-GB"/>
        </w:rPr>
        <w:t>, the suggested exchange rate of N379 (per US Dollar) and</w:t>
      </w:r>
      <w:r w:rsidR="00945F60">
        <w:rPr>
          <w:sz w:val="24"/>
          <w:szCs w:val="24"/>
          <w:lang w:val="en-GB"/>
        </w:rPr>
        <w:t xml:space="preserve"> </w:t>
      </w:r>
      <w:r w:rsidR="001574AF">
        <w:rPr>
          <w:sz w:val="24"/>
          <w:szCs w:val="24"/>
          <w:lang w:val="en-GB"/>
        </w:rPr>
        <w:t xml:space="preserve">a closing rate of inflation of 11.95 </w:t>
      </w:r>
      <w:r w:rsidR="0090663A">
        <w:rPr>
          <w:sz w:val="24"/>
          <w:szCs w:val="24"/>
          <w:lang w:val="en-GB"/>
        </w:rPr>
        <w:t>% may be overly optimistic.</w:t>
      </w:r>
      <w:r w:rsidR="00D9750D">
        <w:rPr>
          <w:sz w:val="24"/>
          <w:szCs w:val="24"/>
          <w:lang w:val="en-GB"/>
        </w:rPr>
        <w:t xml:space="preserve"> </w:t>
      </w:r>
    </w:p>
    <w:p w:rsidR="00691844" w:rsidRDefault="00691844" w:rsidP="009E0765">
      <w:pPr>
        <w:pStyle w:val="ListParagraph"/>
        <w:spacing w:after="0"/>
        <w:ind w:left="0"/>
        <w:rPr>
          <w:sz w:val="24"/>
          <w:szCs w:val="24"/>
          <w:lang w:val="en-GB"/>
        </w:rPr>
      </w:pPr>
    </w:p>
    <w:p w:rsidR="00A920D3" w:rsidRPr="00ED584A" w:rsidRDefault="000E6AAA" w:rsidP="009E0765">
      <w:pPr>
        <w:pStyle w:val="ListParagraph"/>
        <w:spacing w:after="0"/>
        <w:ind w:left="0"/>
        <w:rPr>
          <w:bCs/>
          <w:sz w:val="24"/>
          <w:szCs w:val="24"/>
          <w:lang w:val="en-GB"/>
        </w:rPr>
      </w:pPr>
      <w:r>
        <w:rPr>
          <w:sz w:val="24"/>
          <w:szCs w:val="24"/>
          <w:lang w:val="en-GB"/>
        </w:rPr>
        <w:t>Federal Government revenue is estimated at</w:t>
      </w:r>
      <w:r w:rsidR="00A920D3" w:rsidRPr="00A920D3">
        <w:rPr>
          <w:b/>
          <w:sz w:val="24"/>
          <w:szCs w:val="24"/>
          <w:lang w:val="en-GB"/>
        </w:rPr>
        <w:t xml:space="preserve"> </w:t>
      </w:r>
      <w:r w:rsidR="00A920D3" w:rsidRPr="00ED584A">
        <w:rPr>
          <w:bCs/>
          <w:sz w:val="24"/>
          <w:szCs w:val="24"/>
          <w:lang w:val="en-GB"/>
        </w:rPr>
        <w:t>N7.88tn (about €17.4billion</w:t>
      </w:r>
      <w:r w:rsidR="0014206B">
        <w:rPr>
          <w:bCs/>
          <w:sz w:val="24"/>
          <w:szCs w:val="24"/>
          <w:lang w:val="en-GB"/>
        </w:rPr>
        <w:t>)</w:t>
      </w:r>
      <w:r w:rsidR="0014206B">
        <w:rPr>
          <w:rStyle w:val="FootnoteReference"/>
          <w:bCs/>
          <w:sz w:val="24"/>
          <w:szCs w:val="24"/>
          <w:lang w:val="en-GB"/>
        </w:rPr>
        <w:footnoteReference w:id="1"/>
      </w:r>
      <w:r w:rsidR="00A920D3" w:rsidRPr="00ED584A">
        <w:rPr>
          <w:bCs/>
          <w:sz w:val="24"/>
          <w:szCs w:val="24"/>
          <w:lang w:val="en-GB"/>
        </w:rPr>
        <w:t>, while the proposed budget envisages expenditure of N13.08tn (about €28.9 billion)</w:t>
      </w:r>
      <w:r w:rsidR="00D9259A" w:rsidRPr="00ED584A">
        <w:rPr>
          <w:bCs/>
          <w:sz w:val="24"/>
          <w:szCs w:val="24"/>
          <w:lang w:val="en-GB"/>
        </w:rPr>
        <w:t xml:space="preserve">. </w:t>
      </w:r>
      <w:r w:rsidR="00D178E8" w:rsidRPr="00ED584A">
        <w:rPr>
          <w:bCs/>
          <w:sz w:val="24"/>
          <w:szCs w:val="24"/>
          <w:lang w:val="en-GB"/>
        </w:rPr>
        <w:t xml:space="preserve">The </w:t>
      </w:r>
      <w:r w:rsidR="00A71990" w:rsidRPr="00ED584A">
        <w:rPr>
          <w:bCs/>
          <w:sz w:val="24"/>
          <w:szCs w:val="24"/>
          <w:lang w:val="en-GB"/>
        </w:rPr>
        <w:t>propos</w:t>
      </w:r>
      <w:r w:rsidR="007031C1" w:rsidRPr="00ED584A">
        <w:rPr>
          <w:bCs/>
          <w:sz w:val="24"/>
          <w:szCs w:val="24"/>
          <w:lang w:val="en-GB"/>
        </w:rPr>
        <w:t>ed total budget</w:t>
      </w:r>
      <w:r w:rsidR="00D178E8" w:rsidRPr="00ED584A">
        <w:rPr>
          <w:bCs/>
          <w:sz w:val="24"/>
          <w:szCs w:val="24"/>
          <w:lang w:val="en-GB"/>
        </w:rPr>
        <w:t xml:space="preserve"> is 2</w:t>
      </w:r>
      <w:r w:rsidR="0073235B">
        <w:rPr>
          <w:bCs/>
          <w:sz w:val="24"/>
          <w:szCs w:val="24"/>
          <w:lang w:val="en-GB"/>
        </w:rPr>
        <w:t>1</w:t>
      </w:r>
      <w:r w:rsidR="00D178E8" w:rsidRPr="00ED584A">
        <w:rPr>
          <w:bCs/>
          <w:sz w:val="24"/>
          <w:szCs w:val="24"/>
          <w:lang w:val="en-GB"/>
        </w:rPr>
        <w:t>% higher than last year’s revised budget</w:t>
      </w:r>
      <w:r w:rsidR="00041025" w:rsidRPr="00ED584A">
        <w:rPr>
          <w:bCs/>
          <w:sz w:val="24"/>
          <w:szCs w:val="24"/>
          <w:lang w:val="en-GB"/>
        </w:rPr>
        <w:t xml:space="preserve">, with unsurprisingly, recurrent expenditure receiving the largest share. </w:t>
      </w:r>
    </w:p>
    <w:p w:rsidR="00A920D3" w:rsidRDefault="00A920D3" w:rsidP="009E0765">
      <w:pPr>
        <w:pStyle w:val="ListParagraph"/>
        <w:spacing w:after="0"/>
        <w:ind w:left="0"/>
        <w:rPr>
          <w:sz w:val="24"/>
          <w:szCs w:val="24"/>
          <w:lang w:val="en-GB"/>
        </w:rPr>
      </w:pPr>
    </w:p>
    <w:p w:rsidR="00636E5E" w:rsidRPr="009E0765" w:rsidRDefault="00614E09" w:rsidP="000A1603">
      <w:pPr>
        <w:spacing w:after="0"/>
        <w:rPr>
          <w:sz w:val="24"/>
          <w:szCs w:val="24"/>
          <w:lang w:val="en-GB"/>
        </w:rPr>
      </w:pPr>
      <w:r>
        <w:rPr>
          <w:sz w:val="24"/>
          <w:szCs w:val="24"/>
          <w:lang w:val="en-GB"/>
        </w:rPr>
        <w:t xml:space="preserve">With expenditure </w:t>
      </w:r>
      <w:r w:rsidR="00426667">
        <w:rPr>
          <w:sz w:val="24"/>
          <w:szCs w:val="24"/>
          <w:lang w:val="en-GB"/>
        </w:rPr>
        <w:t xml:space="preserve">outweighing revenue by about </w:t>
      </w:r>
      <w:r w:rsidR="00317913">
        <w:rPr>
          <w:sz w:val="24"/>
          <w:szCs w:val="24"/>
          <w:lang w:val="en-GB"/>
        </w:rPr>
        <w:t>€ 11.5 billion</w:t>
      </w:r>
      <w:r w:rsidR="00CB6232">
        <w:rPr>
          <w:sz w:val="24"/>
          <w:szCs w:val="24"/>
          <w:lang w:val="en-GB"/>
        </w:rPr>
        <w:t xml:space="preserve"> (</w:t>
      </w:r>
      <w:r w:rsidR="00737B51">
        <w:rPr>
          <w:sz w:val="24"/>
          <w:szCs w:val="24"/>
          <w:lang w:val="en-GB"/>
        </w:rPr>
        <w:t xml:space="preserve">3.63% </w:t>
      </w:r>
      <w:r w:rsidR="00CB6232">
        <w:rPr>
          <w:sz w:val="24"/>
          <w:szCs w:val="24"/>
          <w:lang w:val="en-GB"/>
        </w:rPr>
        <w:t>deficit)</w:t>
      </w:r>
      <w:r w:rsidR="004967FD">
        <w:rPr>
          <w:sz w:val="24"/>
          <w:szCs w:val="24"/>
          <w:lang w:val="en-GB"/>
        </w:rPr>
        <w:t>, the President acknowle</w:t>
      </w:r>
      <w:r w:rsidR="00DE6787">
        <w:rPr>
          <w:sz w:val="24"/>
          <w:szCs w:val="24"/>
          <w:lang w:val="en-GB"/>
        </w:rPr>
        <w:t>dged that</w:t>
      </w:r>
      <w:r w:rsidR="00BC0079">
        <w:rPr>
          <w:sz w:val="24"/>
          <w:szCs w:val="24"/>
          <w:lang w:val="en-GB"/>
        </w:rPr>
        <w:t xml:space="preserve"> revenue</w:t>
      </w:r>
      <w:r w:rsidR="0035502A">
        <w:rPr>
          <w:sz w:val="24"/>
          <w:szCs w:val="24"/>
          <w:lang w:val="en-GB"/>
        </w:rPr>
        <w:t xml:space="preserve"> generation remains the major challenge; as at July 2020, oil revenue performed well above the Government’s </w:t>
      </w:r>
      <w:r w:rsidR="00737B51">
        <w:rPr>
          <w:sz w:val="24"/>
          <w:szCs w:val="24"/>
          <w:lang w:val="en-GB"/>
        </w:rPr>
        <w:t xml:space="preserve">much lowered </w:t>
      </w:r>
      <w:r w:rsidR="005036B8">
        <w:rPr>
          <w:sz w:val="24"/>
          <w:szCs w:val="24"/>
          <w:lang w:val="en-GB"/>
        </w:rPr>
        <w:t xml:space="preserve">post-COVID-19 </w:t>
      </w:r>
      <w:r w:rsidR="0035502A">
        <w:rPr>
          <w:sz w:val="24"/>
          <w:szCs w:val="24"/>
          <w:lang w:val="en-GB"/>
        </w:rPr>
        <w:t>budget target</w:t>
      </w:r>
      <w:r w:rsidR="00CB6232">
        <w:rPr>
          <w:sz w:val="24"/>
          <w:szCs w:val="24"/>
          <w:lang w:val="en-GB"/>
        </w:rPr>
        <w:t xml:space="preserve"> </w:t>
      </w:r>
      <w:r w:rsidR="00704286">
        <w:rPr>
          <w:sz w:val="24"/>
          <w:szCs w:val="24"/>
          <w:lang w:val="en-GB"/>
        </w:rPr>
        <w:t xml:space="preserve">due to </w:t>
      </w:r>
      <w:r w:rsidR="0003406F">
        <w:rPr>
          <w:sz w:val="24"/>
          <w:szCs w:val="24"/>
          <w:lang w:val="en-GB"/>
        </w:rPr>
        <w:t xml:space="preserve">a </w:t>
      </w:r>
      <w:r w:rsidR="00704286">
        <w:rPr>
          <w:sz w:val="24"/>
          <w:szCs w:val="24"/>
          <w:lang w:val="en-GB"/>
        </w:rPr>
        <w:t>rebound in global oil prices</w:t>
      </w:r>
      <w:r w:rsidR="0035502A">
        <w:rPr>
          <w:sz w:val="24"/>
          <w:szCs w:val="24"/>
          <w:lang w:val="en-GB"/>
        </w:rPr>
        <w:t>, yet non-</w:t>
      </w:r>
      <w:r w:rsidR="00704286">
        <w:rPr>
          <w:sz w:val="24"/>
          <w:szCs w:val="24"/>
          <w:lang w:val="en-GB"/>
        </w:rPr>
        <w:t xml:space="preserve">oil </w:t>
      </w:r>
      <w:r w:rsidR="0035502A">
        <w:rPr>
          <w:sz w:val="24"/>
          <w:szCs w:val="24"/>
          <w:lang w:val="en-GB"/>
        </w:rPr>
        <w:t xml:space="preserve">tax revenues fell below </w:t>
      </w:r>
      <w:r w:rsidR="00704286">
        <w:rPr>
          <w:sz w:val="24"/>
          <w:szCs w:val="24"/>
          <w:lang w:val="en-GB"/>
        </w:rPr>
        <w:t xml:space="preserve">projections. </w:t>
      </w:r>
      <w:r w:rsidR="004D2863">
        <w:rPr>
          <w:sz w:val="24"/>
          <w:szCs w:val="24"/>
          <w:lang w:val="en-GB"/>
        </w:rPr>
        <w:t>New measures are t</w:t>
      </w:r>
      <w:r w:rsidR="00A90B15">
        <w:rPr>
          <w:sz w:val="24"/>
          <w:szCs w:val="24"/>
          <w:lang w:val="en-GB"/>
        </w:rPr>
        <w:t>herefore</w:t>
      </w:r>
      <w:r w:rsidR="004D2863">
        <w:rPr>
          <w:sz w:val="24"/>
          <w:szCs w:val="24"/>
          <w:lang w:val="en-GB"/>
        </w:rPr>
        <w:t xml:space="preserve"> </w:t>
      </w:r>
      <w:r w:rsidR="00A90B15">
        <w:rPr>
          <w:sz w:val="24"/>
          <w:szCs w:val="24"/>
          <w:lang w:val="en-GB"/>
        </w:rPr>
        <w:t xml:space="preserve">being </w:t>
      </w:r>
      <w:r w:rsidR="0035502A">
        <w:rPr>
          <w:sz w:val="24"/>
          <w:szCs w:val="24"/>
          <w:lang w:val="en-GB"/>
        </w:rPr>
        <w:t xml:space="preserve">introduced to scrutinize more closely, Government Owned Enterprises (GOEs), as well as </w:t>
      </w:r>
      <w:r w:rsidR="006846E2">
        <w:rPr>
          <w:sz w:val="24"/>
          <w:szCs w:val="24"/>
          <w:lang w:val="en-GB"/>
        </w:rPr>
        <w:t xml:space="preserve">to </w:t>
      </w:r>
      <w:r w:rsidR="0035502A">
        <w:rPr>
          <w:sz w:val="24"/>
          <w:szCs w:val="24"/>
          <w:lang w:val="en-GB"/>
        </w:rPr>
        <w:t xml:space="preserve">areas of expenditure, notably personnel costs, which is projected at 33% </w:t>
      </w:r>
      <w:r w:rsidR="005036B8">
        <w:rPr>
          <w:sz w:val="24"/>
          <w:szCs w:val="24"/>
          <w:lang w:val="en-GB"/>
        </w:rPr>
        <w:t>for</w:t>
      </w:r>
      <w:r w:rsidR="0035502A">
        <w:rPr>
          <w:sz w:val="24"/>
          <w:szCs w:val="24"/>
          <w:lang w:val="en-GB"/>
        </w:rPr>
        <w:t xml:space="preserve"> 2021. </w:t>
      </w:r>
    </w:p>
    <w:p w:rsidR="00B24555" w:rsidRDefault="00B24555" w:rsidP="009E0765">
      <w:pPr>
        <w:pStyle w:val="ListParagraph"/>
        <w:rPr>
          <w:sz w:val="24"/>
          <w:szCs w:val="24"/>
          <w:lang w:val="en-GB"/>
        </w:rPr>
      </w:pPr>
      <w:bookmarkStart w:id="0" w:name="_GoBack"/>
      <w:bookmarkEnd w:id="0"/>
    </w:p>
    <w:p w:rsidR="00636E5E" w:rsidRPr="009E0765" w:rsidRDefault="00636E5E" w:rsidP="00A0599B">
      <w:pPr>
        <w:spacing w:after="0"/>
        <w:rPr>
          <w:sz w:val="24"/>
          <w:szCs w:val="24"/>
          <w:lang w:val="en-GB"/>
        </w:rPr>
      </w:pPr>
    </w:p>
    <w:p w:rsidR="00D412A7" w:rsidRPr="009E0765" w:rsidRDefault="00D412A7" w:rsidP="00D412A7">
      <w:pPr>
        <w:pStyle w:val="Heading1"/>
        <w:pBdr>
          <w:bottom w:val="single" w:sz="4" w:space="2" w:color="auto"/>
        </w:pBdr>
        <w:rPr>
          <w:sz w:val="24"/>
          <w:szCs w:val="24"/>
        </w:rPr>
      </w:pPr>
      <w:r w:rsidRPr="009E0765">
        <w:rPr>
          <w:sz w:val="24"/>
          <w:szCs w:val="24"/>
        </w:rPr>
        <w:t>DETAILS</w:t>
      </w:r>
      <w:r w:rsidR="00F80E5B" w:rsidRPr="009E0765">
        <w:rPr>
          <w:sz w:val="24"/>
          <w:szCs w:val="24"/>
        </w:rPr>
        <w:t xml:space="preserve"> AND ASSESSMENT</w:t>
      </w:r>
    </w:p>
    <w:p w:rsidR="00C9638C" w:rsidRPr="009E0765" w:rsidRDefault="00CA1A91" w:rsidP="00636E5E">
      <w:pPr>
        <w:spacing w:after="0"/>
        <w:rPr>
          <w:sz w:val="24"/>
          <w:szCs w:val="24"/>
          <w:lang w:val="en-GB"/>
        </w:rPr>
      </w:pPr>
      <w:r w:rsidRPr="009E0765">
        <w:rPr>
          <w:sz w:val="24"/>
          <w:szCs w:val="24"/>
          <w:lang w:val="en-GB"/>
        </w:rPr>
        <w:t>The 20</w:t>
      </w:r>
      <w:r w:rsidR="00BC0EAE" w:rsidRPr="009E0765">
        <w:rPr>
          <w:sz w:val="24"/>
          <w:szCs w:val="24"/>
          <w:lang w:val="en-GB"/>
        </w:rPr>
        <w:t>2</w:t>
      </w:r>
      <w:r w:rsidR="002119DB" w:rsidRPr="009E0765">
        <w:rPr>
          <w:sz w:val="24"/>
          <w:szCs w:val="24"/>
          <w:lang w:val="en-GB"/>
        </w:rPr>
        <w:t>1</w:t>
      </w:r>
      <w:r w:rsidRPr="009E0765">
        <w:rPr>
          <w:sz w:val="24"/>
          <w:szCs w:val="24"/>
          <w:lang w:val="en-GB"/>
        </w:rPr>
        <w:t xml:space="preserve"> </w:t>
      </w:r>
      <w:r w:rsidR="002119DB" w:rsidRPr="009E0765">
        <w:rPr>
          <w:sz w:val="24"/>
          <w:szCs w:val="24"/>
          <w:lang w:val="en-GB"/>
        </w:rPr>
        <w:t>b</w:t>
      </w:r>
      <w:r w:rsidRPr="009E0765">
        <w:rPr>
          <w:sz w:val="24"/>
          <w:szCs w:val="24"/>
          <w:lang w:val="en-GB"/>
        </w:rPr>
        <w:t xml:space="preserve">udget proposal should be seen against the backdrop of the </w:t>
      </w:r>
      <w:r w:rsidR="002119DB" w:rsidRPr="009E0765">
        <w:rPr>
          <w:sz w:val="24"/>
          <w:szCs w:val="24"/>
          <w:lang w:val="en-GB"/>
        </w:rPr>
        <w:t xml:space="preserve">Covid-19 pandemic that </w:t>
      </w:r>
      <w:r w:rsidR="00766F7D" w:rsidRPr="009E0765">
        <w:rPr>
          <w:sz w:val="24"/>
          <w:szCs w:val="24"/>
          <w:lang w:val="en-GB"/>
        </w:rPr>
        <w:t xml:space="preserve">significantly </w:t>
      </w:r>
      <w:r w:rsidR="002119DB" w:rsidRPr="009E0765">
        <w:rPr>
          <w:sz w:val="24"/>
          <w:szCs w:val="24"/>
          <w:lang w:val="en-GB"/>
        </w:rPr>
        <w:t>affected oil prices</w:t>
      </w:r>
      <w:r w:rsidR="006C2A32">
        <w:rPr>
          <w:sz w:val="24"/>
          <w:szCs w:val="24"/>
          <w:lang w:val="en-GB"/>
        </w:rPr>
        <w:t>,</w:t>
      </w:r>
      <w:r w:rsidR="002119DB" w:rsidRPr="009E0765">
        <w:rPr>
          <w:sz w:val="24"/>
          <w:szCs w:val="24"/>
          <w:lang w:val="en-GB"/>
        </w:rPr>
        <w:t xml:space="preserve"> the major source of Government revenues. </w:t>
      </w:r>
      <w:r w:rsidR="006C2A32">
        <w:rPr>
          <w:sz w:val="24"/>
          <w:szCs w:val="24"/>
          <w:lang w:val="en-GB"/>
        </w:rPr>
        <w:t xml:space="preserve">The </w:t>
      </w:r>
      <w:r w:rsidR="008A515B">
        <w:rPr>
          <w:sz w:val="24"/>
          <w:szCs w:val="24"/>
          <w:lang w:val="en-GB"/>
        </w:rPr>
        <w:t>s</w:t>
      </w:r>
      <w:r w:rsidR="002119DB" w:rsidRPr="009E0765">
        <w:rPr>
          <w:sz w:val="24"/>
          <w:szCs w:val="24"/>
          <w:lang w:val="en-GB"/>
        </w:rPr>
        <w:t xml:space="preserve">hutdown of the economy in the second quarter also led to the contraction of the economy </w:t>
      </w:r>
      <w:r w:rsidR="00EA4F8E" w:rsidRPr="009E0765">
        <w:rPr>
          <w:sz w:val="24"/>
          <w:szCs w:val="24"/>
          <w:lang w:val="en-GB"/>
        </w:rPr>
        <w:t xml:space="preserve">to -6.1% in Q2 and a forecast of -4.2% in Q3. President Buhari acknowledged the imminent </w:t>
      </w:r>
      <w:r w:rsidR="00C9638C" w:rsidRPr="009E0765">
        <w:rPr>
          <w:sz w:val="24"/>
          <w:szCs w:val="24"/>
          <w:lang w:val="en-GB"/>
        </w:rPr>
        <w:t>return of Nigeria to recession</w:t>
      </w:r>
      <w:r w:rsidR="00C23ACF">
        <w:rPr>
          <w:sz w:val="24"/>
          <w:szCs w:val="24"/>
          <w:lang w:val="en-GB"/>
        </w:rPr>
        <w:t xml:space="preserve">, </w:t>
      </w:r>
      <w:r w:rsidR="00877E5B">
        <w:rPr>
          <w:sz w:val="24"/>
          <w:szCs w:val="24"/>
          <w:lang w:val="en-GB"/>
        </w:rPr>
        <w:t xml:space="preserve">expected </w:t>
      </w:r>
      <w:r w:rsidR="000870E6">
        <w:rPr>
          <w:sz w:val="24"/>
          <w:szCs w:val="24"/>
          <w:lang w:val="en-GB"/>
        </w:rPr>
        <w:t>with the forthcoming</w:t>
      </w:r>
      <w:r w:rsidR="00C9638C" w:rsidRPr="009E0765">
        <w:rPr>
          <w:sz w:val="24"/>
          <w:szCs w:val="24"/>
          <w:lang w:val="en-GB"/>
        </w:rPr>
        <w:t xml:space="preserve"> Q3 results. </w:t>
      </w:r>
      <w:r w:rsidR="00766F7D" w:rsidRPr="009E0765">
        <w:rPr>
          <w:sz w:val="24"/>
          <w:szCs w:val="24"/>
          <w:lang w:val="en-GB"/>
        </w:rPr>
        <w:t>The Government revised the 2020 budget to reflect the effects of the pandemic on the economy and social sectors.</w:t>
      </w:r>
      <w:r w:rsidR="00C9638C" w:rsidRPr="009E0765">
        <w:rPr>
          <w:sz w:val="24"/>
          <w:szCs w:val="24"/>
          <w:lang w:val="en-GB"/>
        </w:rPr>
        <w:t xml:space="preserve"> Following the trend of 2020, t</w:t>
      </w:r>
      <w:r w:rsidR="00D22581" w:rsidRPr="009E0765">
        <w:rPr>
          <w:sz w:val="24"/>
          <w:szCs w:val="24"/>
          <w:lang w:val="en-GB"/>
        </w:rPr>
        <w:t xml:space="preserve">he 2021 budget will </w:t>
      </w:r>
      <w:r w:rsidR="00C9638C" w:rsidRPr="009E0765">
        <w:rPr>
          <w:sz w:val="24"/>
          <w:szCs w:val="24"/>
          <w:lang w:val="en-GB"/>
        </w:rPr>
        <w:t xml:space="preserve">also </w:t>
      </w:r>
      <w:r w:rsidR="00D22581" w:rsidRPr="009E0765">
        <w:rPr>
          <w:sz w:val="24"/>
          <w:szCs w:val="24"/>
          <w:lang w:val="en-GB"/>
        </w:rPr>
        <w:t xml:space="preserve">be </w:t>
      </w:r>
      <w:r w:rsidR="00C9638C" w:rsidRPr="009E0765">
        <w:rPr>
          <w:sz w:val="24"/>
          <w:szCs w:val="24"/>
          <w:lang w:val="en-GB"/>
        </w:rPr>
        <w:t xml:space="preserve">accompanied </w:t>
      </w:r>
      <w:r w:rsidR="00D22581" w:rsidRPr="009E0765">
        <w:rPr>
          <w:sz w:val="24"/>
          <w:szCs w:val="24"/>
          <w:lang w:val="en-GB"/>
        </w:rPr>
        <w:t xml:space="preserve">by a Finance Bill (yet to be presented) </w:t>
      </w:r>
      <w:r w:rsidR="00C9638C" w:rsidRPr="009E0765">
        <w:rPr>
          <w:sz w:val="24"/>
          <w:szCs w:val="24"/>
          <w:lang w:val="en-GB"/>
        </w:rPr>
        <w:t xml:space="preserve">which </w:t>
      </w:r>
      <w:r w:rsidR="00D22581" w:rsidRPr="009E0765">
        <w:rPr>
          <w:sz w:val="24"/>
          <w:szCs w:val="24"/>
          <w:lang w:val="en-GB"/>
        </w:rPr>
        <w:t xml:space="preserve">seeks to deliver on the objectives of the </w:t>
      </w:r>
      <w:r w:rsidR="00766F7D" w:rsidRPr="009E0765">
        <w:rPr>
          <w:sz w:val="24"/>
          <w:szCs w:val="24"/>
          <w:lang w:val="en-GB"/>
        </w:rPr>
        <w:t>Economic Sustainability Plan (ESP)</w:t>
      </w:r>
      <w:r w:rsidR="00877E5B">
        <w:rPr>
          <w:sz w:val="24"/>
          <w:szCs w:val="24"/>
          <w:lang w:val="en-GB"/>
        </w:rPr>
        <w:t>,</w:t>
      </w:r>
      <w:r w:rsidR="00766F7D" w:rsidRPr="009E0765">
        <w:rPr>
          <w:sz w:val="24"/>
          <w:szCs w:val="24"/>
          <w:lang w:val="en-GB"/>
        </w:rPr>
        <w:t xml:space="preserve"> </w:t>
      </w:r>
      <w:r w:rsidR="00C9638C" w:rsidRPr="009E0765">
        <w:rPr>
          <w:sz w:val="24"/>
          <w:szCs w:val="24"/>
          <w:lang w:val="en-GB"/>
        </w:rPr>
        <w:t>by</w:t>
      </w:r>
      <w:r w:rsidR="00D22581" w:rsidRPr="009E0765">
        <w:rPr>
          <w:sz w:val="24"/>
          <w:szCs w:val="24"/>
          <w:lang w:val="en-GB"/>
        </w:rPr>
        <w:t xml:space="preserve"> adopting counter-cyclical fiscal policies and </w:t>
      </w:r>
      <w:r w:rsidR="007A2850">
        <w:rPr>
          <w:sz w:val="24"/>
          <w:szCs w:val="24"/>
          <w:lang w:val="en-GB"/>
        </w:rPr>
        <w:t xml:space="preserve">by </w:t>
      </w:r>
      <w:r w:rsidR="00D22581" w:rsidRPr="009E0765">
        <w:rPr>
          <w:sz w:val="24"/>
          <w:szCs w:val="24"/>
          <w:lang w:val="en-GB"/>
        </w:rPr>
        <w:t>enhanc</w:t>
      </w:r>
      <w:r w:rsidR="00C9638C" w:rsidRPr="009E0765">
        <w:rPr>
          <w:sz w:val="24"/>
          <w:szCs w:val="24"/>
          <w:lang w:val="en-GB"/>
        </w:rPr>
        <w:t>ing</w:t>
      </w:r>
      <w:r w:rsidR="00D22581" w:rsidRPr="009E0765">
        <w:rPr>
          <w:sz w:val="24"/>
          <w:szCs w:val="24"/>
          <w:lang w:val="en-GB"/>
        </w:rPr>
        <w:t xml:space="preserve"> the efficiency of fiscal incentives.</w:t>
      </w:r>
      <w:r w:rsidR="00766F7D" w:rsidRPr="009E0765">
        <w:rPr>
          <w:sz w:val="24"/>
          <w:szCs w:val="24"/>
          <w:lang w:val="en-GB"/>
        </w:rPr>
        <w:t xml:space="preserve"> </w:t>
      </w:r>
    </w:p>
    <w:p w:rsidR="00C9638C" w:rsidRPr="009E0765" w:rsidRDefault="00C9638C" w:rsidP="00636E5E">
      <w:pPr>
        <w:spacing w:after="0"/>
        <w:rPr>
          <w:sz w:val="24"/>
          <w:szCs w:val="24"/>
          <w:lang w:val="en-GB"/>
        </w:rPr>
      </w:pPr>
    </w:p>
    <w:p w:rsidR="000A4031" w:rsidRPr="009E0765" w:rsidRDefault="00592649" w:rsidP="00636E5E">
      <w:pPr>
        <w:spacing w:after="0"/>
        <w:rPr>
          <w:sz w:val="24"/>
          <w:szCs w:val="24"/>
          <w:lang w:val="en-GB"/>
        </w:rPr>
      </w:pPr>
      <w:r w:rsidRPr="009E0765">
        <w:rPr>
          <w:b/>
          <w:sz w:val="24"/>
          <w:szCs w:val="24"/>
          <w:lang w:val="en-GB"/>
        </w:rPr>
        <w:t xml:space="preserve">With </w:t>
      </w:r>
      <w:r w:rsidR="00966A9E">
        <w:rPr>
          <w:b/>
          <w:sz w:val="24"/>
          <w:szCs w:val="24"/>
          <w:lang w:val="en-GB"/>
        </w:rPr>
        <w:t xml:space="preserve">a </w:t>
      </w:r>
      <w:r w:rsidRPr="009E0765">
        <w:rPr>
          <w:b/>
          <w:sz w:val="24"/>
          <w:szCs w:val="24"/>
          <w:lang w:val="en-GB"/>
        </w:rPr>
        <w:t xml:space="preserve">rebound in oil prices, the revised 2020 budget </w:t>
      </w:r>
      <w:r w:rsidR="00BA5248" w:rsidRPr="009E0765">
        <w:rPr>
          <w:b/>
          <w:sz w:val="24"/>
          <w:szCs w:val="24"/>
          <w:lang w:val="en-GB"/>
        </w:rPr>
        <w:t xml:space="preserve">Performance </w:t>
      </w:r>
      <w:r w:rsidRPr="009E0765">
        <w:rPr>
          <w:b/>
          <w:sz w:val="24"/>
          <w:szCs w:val="24"/>
          <w:lang w:val="en-GB"/>
        </w:rPr>
        <w:t>has improved</w:t>
      </w:r>
      <w:r w:rsidR="00702D8C" w:rsidRPr="009E0765">
        <w:rPr>
          <w:sz w:val="24"/>
          <w:szCs w:val="24"/>
          <w:lang w:val="en-GB"/>
        </w:rPr>
        <w:t xml:space="preserve">. </w:t>
      </w:r>
      <w:r w:rsidR="009237A7" w:rsidRPr="009E0765">
        <w:rPr>
          <w:sz w:val="24"/>
          <w:szCs w:val="24"/>
          <w:lang w:val="en-GB"/>
        </w:rPr>
        <w:t>As at July 2020, the Federal Government had realised N2.1tn</w:t>
      </w:r>
      <w:r w:rsidR="005036B8">
        <w:rPr>
          <w:sz w:val="24"/>
          <w:szCs w:val="24"/>
          <w:lang w:val="en-GB"/>
        </w:rPr>
        <w:t xml:space="preserve"> (€</w:t>
      </w:r>
      <w:r w:rsidR="00CA4956">
        <w:rPr>
          <w:sz w:val="24"/>
          <w:szCs w:val="24"/>
          <w:lang w:val="en-GB"/>
        </w:rPr>
        <w:t>4.6bn</w:t>
      </w:r>
      <w:r w:rsidR="005036B8">
        <w:rPr>
          <w:sz w:val="24"/>
          <w:szCs w:val="24"/>
          <w:lang w:val="en-GB"/>
        </w:rPr>
        <w:t>)</w:t>
      </w:r>
      <w:r w:rsidR="007A2850">
        <w:rPr>
          <w:sz w:val="24"/>
          <w:szCs w:val="24"/>
          <w:lang w:val="en-GB"/>
        </w:rPr>
        <w:t>,</w:t>
      </w:r>
      <w:r w:rsidR="009237A7" w:rsidRPr="009E0765">
        <w:rPr>
          <w:sz w:val="24"/>
          <w:szCs w:val="24"/>
          <w:lang w:val="en-GB"/>
        </w:rPr>
        <w:t xml:space="preserve"> representing 68% of targeted revenue in the revised budget. Oil revenues exceeded target by 168% as oil prices </w:t>
      </w:r>
      <w:r w:rsidR="009237A7" w:rsidRPr="009E0765">
        <w:rPr>
          <w:sz w:val="24"/>
          <w:szCs w:val="24"/>
          <w:lang w:val="en-GB"/>
        </w:rPr>
        <w:lastRenderedPageBreak/>
        <w:t xml:space="preserve">appreciated to over $40 per barrel against a revised </w:t>
      </w:r>
      <w:r w:rsidR="00737B51">
        <w:rPr>
          <w:sz w:val="24"/>
          <w:szCs w:val="24"/>
          <w:lang w:val="en-GB"/>
        </w:rPr>
        <w:t xml:space="preserve">post-COVID-19 </w:t>
      </w:r>
      <w:r w:rsidR="009237A7" w:rsidRPr="009E0765">
        <w:rPr>
          <w:sz w:val="24"/>
          <w:szCs w:val="24"/>
          <w:lang w:val="en-GB"/>
        </w:rPr>
        <w:t xml:space="preserve">budget of $28 per barrel. However, non-oil revenues </w:t>
      </w:r>
      <w:r w:rsidR="000A1A9A" w:rsidRPr="009E0765">
        <w:rPr>
          <w:sz w:val="24"/>
          <w:szCs w:val="24"/>
          <w:lang w:val="en-GB"/>
        </w:rPr>
        <w:t xml:space="preserve">achieved only 73% of the revised target during the same period under review. </w:t>
      </w:r>
      <w:r w:rsidR="00823452" w:rsidRPr="009E0765">
        <w:rPr>
          <w:sz w:val="24"/>
          <w:szCs w:val="24"/>
          <w:lang w:val="en-GB"/>
        </w:rPr>
        <w:t xml:space="preserve">On the expenditure side, </w:t>
      </w:r>
      <w:r w:rsidR="000A1A9A" w:rsidRPr="009E0765">
        <w:rPr>
          <w:sz w:val="24"/>
          <w:szCs w:val="24"/>
          <w:lang w:val="en-GB"/>
        </w:rPr>
        <w:t>N5.37tn out of the pro</w:t>
      </w:r>
      <w:r w:rsidR="00921270">
        <w:rPr>
          <w:sz w:val="24"/>
          <w:szCs w:val="24"/>
          <w:lang w:val="en-GB"/>
        </w:rPr>
        <w:t>-</w:t>
      </w:r>
      <w:r w:rsidR="000A1A9A" w:rsidRPr="009E0765">
        <w:rPr>
          <w:sz w:val="24"/>
          <w:szCs w:val="24"/>
          <w:lang w:val="en-GB"/>
        </w:rPr>
        <w:t xml:space="preserve">rated N5.82tn had been spent. </w:t>
      </w:r>
      <w:r w:rsidR="007869B6" w:rsidRPr="009E0765">
        <w:rPr>
          <w:sz w:val="24"/>
          <w:szCs w:val="24"/>
          <w:lang w:val="en-GB"/>
        </w:rPr>
        <w:t>As at September 2020</w:t>
      </w:r>
      <w:r w:rsidR="00CB2049" w:rsidRPr="009E0765">
        <w:rPr>
          <w:sz w:val="24"/>
          <w:szCs w:val="24"/>
          <w:lang w:val="en-GB"/>
        </w:rPr>
        <w:t>, a</w:t>
      </w:r>
      <w:r w:rsidR="000A1A9A" w:rsidRPr="009E0765">
        <w:rPr>
          <w:sz w:val="24"/>
          <w:szCs w:val="24"/>
          <w:lang w:val="en-GB"/>
        </w:rPr>
        <w:t xml:space="preserve"> deficit of N3.27tn representing 66% of </w:t>
      </w:r>
      <w:r w:rsidR="00674AC2">
        <w:rPr>
          <w:sz w:val="24"/>
          <w:szCs w:val="24"/>
          <w:lang w:val="en-GB"/>
        </w:rPr>
        <w:t xml:space="preserve">the </w:t>
      </w:r>
      <w:r w:rsidR="000A1A9A" w:rsidRPr="009E0765">
        <w:rPr>
          <w:sz w:val="24"/>
          <w:szCs w:val="24"/>
          <w:lang w:val="en-GB"/>
        </w:rPr>
        <w:t xml:space="preserve">revised budget deficit </w:t>
      </w:r>
      <w:r w:rsidR="00737B51">
        <w:rPr>
          <w:sz w:val="24"/>
          <w:szCs w:val="24"/>
          <w:lang w:val="en-GB"/>
        </w:rPr>
        <w:t xml:space="preserve">for the whole year </w:t>
      </w:r>
      <w:r w:rsidR="000A1A9A" w:rsidRPr="009E0765">
        <w:rPr>
          <w:sz w:val="24"/>
          <w:szCs w:val="24"/>
          <w:lang w:val="en-GB"/>
        </w:rPr>
        <w:t>had been incurred</w:t>
      </w:r>
      <w:r w:rsidR="00CB2049" w:rsidRPr="009E0765">
        <w:rPr>
          <w:sz w:val="24"/>
          <w:szCs w:val="24"/>
          <w:lang w:val="en-GB"/>
        </w:rPr>
        <w:t>.</w:t>
      </w:r>
      <w:r w:rsidR="000A1A9A" w:rsidRPr="009E0765">
        <w:rPr>
          <w:sz w:val="24"/>
          <w:szCs w:val="24"/>
          <w:lang w:val="en-GB"/>
        </w:rPr>
        <w:t xml:space="preserve"> </w:t>
      </w:r>
      <w:r w:rsidR="007869B6" w:rsidRPr="009E0765">
        <w:rPr>
          <w:sz w:val="24"/>
          <w:szCs w:val="24"/>
          <w:lang w:val="en-GB"/>
        </w:rPr>
        <w:t xml:space="preserve">According to President Buhari, debt service obligations, payment of statutory transfers and staff salaries </w:t>
      </w:r>
      <w:r w:rsidR="005F7311">
        <w:rPr>
          <w:sz w:val="24"/>
          <w:szCs w:val="24"/>
          <w:lang w:val="en-GB"/>
        </w:rPr>
        <w:t>we</w:t>
      </w:r>
      <w:r w:rsidR="007869B6" w:rsidRPr="009E0765">
        <w:rPr>
          <w:sz w:val="24"/>
          <w:szCs w:val="24"/>
          <w:lang w:val="en-GB"/>
        </w:rPr>
        <w:t>re up to date</w:t>
      </w:r>
      <w:r w:rsidR="00674AC2">
        <w:rPr>
          <w:sz w:val="24"/>
          <w:szCs w:val="24"/>
          <w:lang w:val="en-GB"/>
        </w:rPr>
        <w:t>,</w:t>
      </w:r>
      <w:r w:rsidR="007869B6" w:rsidRPr="009E0765">
        <w:rPr>
          <w:sz w:val="24"/>
          <w:szCs w:val="24"/>
          <w:lang w:val="en-GB"/>
        </w:rPr>
        <w:t xml:space="preserve"> while overhead costs ha</w:t>
      </w:r>
      <w:r w:rsidR="00024EF1">
        <w:rPr>
          <w:sz w:val="24"/>
          <w:szCs w:val="24"/>
          <w:lang w:val="en-GB"/>
        </w:rPr>
        <w:t>d</w:t>
      </w:r>
      <w:r w:rsidR="007869B6" w:rsidRPr="009E0765">
        <w:rPr>
          <w:sz w:val="24"/>
          <w:szCs w:val="24"/>
          <w:lang w:val="en-GB"/>
        </w:rPr>
        <w:t xml:space="preserve"> been significantly covered. </w:t>
      </w:r>
      <w:r w:rsidR="00311CA1" w:rsidRPr="009E0765">
        <w:rPr>
          <w:sz w:val="24"/>
          <w:szCs w:val="24"/>
          <w:lang w:val="en-GB"/>
        </w:rPr>
        <w:t xml:space="preserve">See </w:t>
      </w:r>
      <w:r w:rsidR="004841A8">
        <w:rPr>
          <w:sz w:val="24"/>
          <w:szCs w:val="24"/>
          <w:lang w:val="en-GB"/>
        </w:rPr>
        <w:t xml:space="preserve">comparison </w:t>
      </w:r>
      <w:r w:rsidR="00737B51">
        <w:rPr>
          <w:sz w:val="24"/>
          <w:szCs w:val="24"/>
          <w:lang w:val="en-GB"/>
        </w:rPr>
        <w:t>in t</w:t>
      </w:r>
      <w:r w:rsidR="00311CA1" w:rsidRPr="009E0765">
        <w:rPr>
          <w:sz w:val="24"/>
          <w:szCs w:val="24"/>
          <w:lang w:val="en-GB"/>
        </w:rPr>
        <w:t>able below</w:t>
      </w:r>
      <w:r w:rsidR="00674AC2">
        <w:rPr>
          <w:sz w:val="24"/>
          <w:szCs w:val="24"/>
          <w:lang w:val="en-GB"/>
        </w:rPr>
        <w:t>:</w:t>
      </w:r>
    </w:p>
    <w:p w:rsidR="000A4031" w:rsidRPr="009E0765" w:rsidRDefault="000A4031" w:rsidP="00636E5E">
      <w:pPr>
        <w:spacing w:after="0"/>
        <w:rPr>
          <w:sz w:val="24"/>
          <w:szCs w:val="24"/>
          <w:lang w:val="en-GB"/>
        </w:rPr>
      </w:pPr>
    </w:p>
    <w:p w:rsidR="0021441A" w:rsidRPr="009E0765" w:rsidRDefault="0021441A" w:rsidP="00B20B71">
      <w:pPr>
        <w:spacing w:after="0"/>
        <w:rPr>
          <w:sz w:val="24"/>
          <w:szCs w:val="24"/>
          <w:lang w:val="en-GB"/>
        </w:rPr>
      </w:pPr>
    </w:p>
    <w:tbl>
      <w:tblPr>
        <w:tblStyle w:val="TableGrid"/>
        <w:tblW w:w="0" w:type="auto"/>
        <w:tblLook w:val="04A0" w:firstRow="1" w:lastRow="0" w:firstColumn="1" w:lastColumn="0" w:noHBand="0" w:noVBand="1"/>
      </w:tblPr>
      <w:tblGrid>
        <w:gridCol w:w="1932"/>
        <w:gridCol w:w="1916"/>
        <w:gridCol w:w="1899"/>
        <w:gridCol w:w="1944"/>
        <w:gridCol w:w="1931"/>
      </w:tblGrid>
      <w:tr w:rsidR="0021441A" w:rsidRPr="00090EFC" w:rsidTr="009E0765">
        <w:tc>
          <w:tcPr>
            <w:tcW w:w="1970" w:type="dxa"/>
            <w:tcBorders>
              <w:top w:val="outset" w:sz="6" w:space="0" w:color="auto"/>
              <w:left w:val="outset" w:sz="6" w:space="0" w:color="auto"/>
              <w:bottom w:val="outset" w:sz="6" w:space="0" w:color="auto"/>
              <w:right w:val="outset" w:sz="6" w:space="0" w:color="auto"/>
            </w:tcBorders>
            <w:vAlign w:val="center"/>
          </w:tcPr>
          <w:p w:rsidR="0021441A" w:rsidRPr="009E0765" w:rsidRDefault="0021441A" w:rsidP="0042048A">
            <w:pPr>
              <w:spacing w:after="0"/>
              <w:rPr>
                <w:sz w:val="24"/>
                <w:szCs w:val="24"/>
                <w:lang w:val="en-GB"/>
              </w:rPr>
            </w:pPr>
            <w:r w:rsidRPr="009E0765">
              <w:rPr>
                <w:b/>
                <w:bCs/>
                <w:sz w:val="24"/>
                <w:szCs w:val="24"/>
                <w:lang w:val="en-GB"/>
              </w:rPr>
              <w:t>Budget Parameter</w:t>
            </w:r>
            <w:r w:rsidR="0042048A" w:rsidRPr="009E0765">
              <w:rPr>
                <w:b/>
                <w:bCs/>
                <w:sz w:val="24"/>
                <w:szCs w:val="24"/>
                <w:lang w:val="en-GB"/>
              </w:rPr>
              <w:t>s</w:t>
            </w:r>
          </w:p>
        </w:tc>
        <w:tc>
          <w:tcPr>
            <w:tcW w:w="1971" w:type="dxa"/>
            <w:tcBorders>
              <w:top w:val="outset" w:sz="6" w:space="0" w:color="auto"/>
              <w:left w:val="outset" w:sz="6" w:space="0" w:color="auto"/>
              <w:bottom w:val="outset" w:sz="6" w:space="0" w:color="auto"/>
              <w:right w:val="outset" w:sz="6" w:space="0" w:color="auto"/>
            </w:tcBorders>
            <w:vAlign w:val="center"/>
          </w:tcPr>
          <w:p w:rsidR="0021441A" w:rsidRPr="009E0765" w:rsidRDefault="0021441A" w:rsidP="0021441A">
            <w:pPr>
              <w:spacing w:after="0"/>
              <w:rPr>
                <w:sz w:val="24"/>
                <w:szCs w:val="24"/>
                <w:lang w:val="en-GB"/>
              </w:rPr>
            </w:pPr>
            <w:r w:rsidRPr="009E0765">
              <w:rPr>
                <w:b/>
                <w:bCs/>
                <w:sz w:val="24"/>
                <w:szCs w:val="24"/>
                <w:lang w:val="en-GB"/>
              </w:rPr>
              <w:t>2020 Approved Budget</w:t>
            </w:r>
          </w:p>
        </w:tc>
        <w:tc>
          <w:tcPr>
            <w:tcW w:w="1971" w:type="dxa"/>
            <w:tcBorders>
              <w:top w:val="outset" w:sz="6" w:space="0" w:color="auto"/>
              <w:left w:val="outset" w:sz="6" w:space="0" w:color="auto"/>
              <w:bottom w:val="outset" w:sz="6" w:space="0" w:color="auto"/>
              <w:right w:val="outset" w:sz="6" w:space="0" w:color="auto"/>
            </w:tcBorders>
            <w:vAlign w:val="center"/>
          </w:tcPr>
          <w:p w:rsidR="0021441A" w:rsidRPr="009E0765" w:rsidRDefault="0021441A" w:rsidP="0021441A">
            <w:pPr>
              <w:spacing w:after="0"/>
              <w:rPr>
                <w:sz w:val="24"/>
                <w:szCs w:val="24"/>
                <w:lang w:val="en-GB"/>
              </w:rPr>
            </w:pPr>
            <w:r w:rsidRPr="009E0765">
              <w:rPr>
                <w:b/>
                <w:bCs/>
                <w:sz w:val="24"/>
                <w:szCs w:val="24"/>
                <w:lang w:val="en-GB"/>
              </w:rPr>
              <w:t>2020 Revised Budget</w:t>
            </w:r>
          </w:p>
        </w:tc>
        <w:tc>
          <w:tcPr>
            <w:tcW w:w="1971" w:type="dxa"/>
            <w:tcBorders>
              <w:top w:val="outset" w:sz="6" w:space="0" w:color="auto"/>
              <w:left w:val="outset" w:sz="6" w:space="0" w:color="auto"/>
              <w:bottom w:val="outset" w:sz="6" w:space="0" w:color="auto"/>
              <w:right w:val="outset" w:sz="6" w:space="0" w:color="auto"/>
            </w:tcBorders>
            <w:vAlign w:val="center"/>
          </w:tcPr>
          <w:p w:rsidR="0021441A" w:rsidRPr="009E0765" w:rsidRDefault="0021441A" w:rsidP="0021441A">
            <w:pPr>
              <w:spacing w:after="0"/>
              <w:rPr>
                <w:sz w:val="24"/>
                <w:szCs w:val="24"/>
                <w:lang w:val="en-GB"/>
              </w:rPr>
            </w:pPr>
            <w:r w:rsidRPr="009E0765">
              <w:rPr>
                <w:b/>
                <w:bCs/>
                <w:sz w:val="24"/>
                <w:szCs w:val="24"/>
                <w:lang w:val="en-GB"/>
              </w:rPr>
              <w:t>2021 Proposed Budget</w:t>
            </w:r>
          </w:p>
        </w:tc>
        <w:tc>
          <w:tcPr>
            <w:tcW w:w="1971" w:type="dxa"/>
            <w:tcBorders>
              <w:top w:val="outset" w:sz="6" w:space="0" w:color="auto"/>
              <w:left w:val="outset" w:sz="6" w:space="0" w:color="auto"/>
              <w:bottom w:val="outset" w:sz="6" w:space="0" w:color="auto"/>
              <w:right w:val="outset" w:sz="6" w:space="0" w:color="auto"/>
            </w:tcBorders>
            <w:vAlign w:val="center"/>
          </w:tcPr>
          <w:p w:rsidR="0021441A" w:rsidRPr="009E0765" w:rsidRDefault="0021441A" w:rsidP="0021441A">
            <w:pPr>
              <w:spacing w:after="0"/>
              <w:rPr>
                <w:sz w:val="24"/>
                <w:szCs w:val="24"/>
                <w:lang w:val="en-GB"/>
              </w:rPr>
            </w:pPr>
            <w:r w:rsidRPr="009E0765">
              <w:rPr>
                <w:b/>
                <w:bCs/>
                <w:sz w:val="24"/>
                <w:szCs w:val="24"/>
                <w:lang w:val="en-GB"/>
              </w:rPr>
              <w:t>Percentage Change</w:t>
            </w:r>
          </w:p>
        </w:tc>
      </w:tr>
      <w:tr w:rsidR="0021441A" w:rsidRPr="00090EFC" w:rsidTr="0021441A">
        <w:tc>
          <w:tcPr>
            <w:tcW w:w="1970" w:type="dxa"/>
          </w:tcPr>
          <w:p w:rsidR="0021441A" w:rsidRPr="009E0765" w:rsidRDefault="008E1F0B" w:rsidP="009E0765">
            <w:pPr>
              <w:spacing w:after="0"/>
              <w:jc w:val="left"/>
              <w:rPr>
                <w:sz w:val="24"/>
                <w:szCs w:val="24"/>
                <w:lang w:val="en-GB"/>
              </w:rPr>
            </w:pPr>
            <w:r w:rsidRPr="009E0765">
              <w:rPr>
                <w:sz w:val="24"/>
                <w:szCs w:val="24"/>
              </w:rPr>
              <w:t xml:space="preserve">Oil Price </w:t>
            </w:r>
            <w:r w:rsidR="0021441A" w:rsidRPr="009E0765">
              <w:rPr>
                <w:sz w:val="24"/>
                <w:szCs w:val="24"/>
              </w:rPr>
              <w:t>Benchmark price</w:t>
            </w:r>
          </w:p>
        </w:tc>
        <w:tc>
          <w:tcPr>
            <w:tcW w:w="1971" w:type="dxa"/>
          </w:tcPr>
          <w:p w:rsidR="0021441A" w:rsidRPr="009E0765" w:rsidRDefault="0021441A" w:rsidP="0021441A">
            <w:pPr>
              <w:spacing w:after="0"/>
              <w:rPr>
                <w:sz w:val="24"/>
                <w:szCs w:val="24"/>
                <w:lang w:val="en-GB"/>
              </w:rPr>
            </w:pPr>
            <w:r w:rsidRPr="009E0765">
              <w:rPr>
                <w:sz w:val="24"/>
                <w:szCs w:val="24"/>
              </w:rPr>
              <w:t>US$57 per barrel</w:t>
            </w:r>
          </w:p>
        </w:tc>
        <w:tc>
          <w:tcPr>
            <w:tcW w:w="1971" w:type="dxa"/>
          </w:tcPr>
          <w:p w:rsidR="0021441A" w:rsidRPr="009E0765" w:rsidRDefault="0021441A" w:rsidP="0021441A">
            <w:pPr>
              <w:spacing w:after="0"/>
              <w:rPr>
                <w:sz w:val="24"/>
                <w:szCs w:val="24"/>
                <w:lang w:val="en-GB"/>
              </w:rPr>
            </w:pPr>
            <w:r w:rsidRPr="009E0765">
              <w:rPr>
                <w:sz w:val="24"/>
                <w:szCs w:val="24"/>
              </w:rPr>
              <w:t xml:space="preserve"> US$28 per barrel</w:t>
            </w:r>
          </w:p>
        </w:tc>
        <w:tc>
          <w:tcPr>
            <w:tcW w:w="1971" w:type="dxa"/>
          </w:tcPr>
          <w:p w:rsidR="0021441A" w:rsidRPr="009E0765" w:rsidRDefault="0021441A" w:rsidP="0021441A">
            <w:pPr>
              <w:spacing w:after="0"/>
              <w:rPr>
                <w:sz w:val="24"/>
                <w:szCs w:val="24"/>
                <w:lang w:val="en-GB"/>
              </w:rPr>
            </w:pPr>
            <w:r w:rsidRPr="009E0765">
              <w:rPr>
                <w:sz w:val="24"/>
                <w:szCs w:val="24"/>
              </w:rPr>
              <w:t>US$40 per barrel</w:t>
            </w:r>
          </w:p>
        </w:tc>
        <w:tc>
          <w:tcPr>
            <w:tcW w:w="1971" w:type="dxa"/>
          </w:tcPr>
          <w:p w:rsidR="0021441A" w:rsidRPr="009E0765" w:rsidRDefault="0021441A" w:rsidP="0021441A">
            <w:pPr>
              <w:spacing w:after="0"/>
              <w:rPr>
                <w:sz w:val="24"/>
                <w:szCs w:val="24"/>
                <w:lang w:val="en-GB"/>
              </w:rPr>
            </w:pPr>
            <w:r w:rsidRPr="009E0765">
              <w:rPr>
                <w:sz w:val="24"/>
                <w:szCs w:val="24"/>
              </w:rPr>
              <w:t>43%</w:t>
            </w:r>
          </w:p>
        </w:tc>
      </w:tr>
      <w:tr w:rsidR="0021441A" w:rsidRPr="00090EFC" w:rsidTr="0021441A">
        <w:tc>
          <w:tcPr>
            <w:tcW w:w="1970" w:type="dxa"/>
          </w:tcPr>
          <w:p w:rsidR="0021441A" w:rsidRPr="009E0765" w:rsidRDefault="0021441A" w:rsidP="009E0765">
            <w:pPr>
              <w:spacing w:after="0"/>
              <w:jc w:val="left"/>
              <w:rPr>
                <w:sz w:val="24"/>
                <w:szCs w:val="24"/>
                <w:lang w:val="en-GB"/>
              </w:rPr>
            </w:pPr>
            <w:r w:rsidRPr="009E0765">
              <w:rPr>
                <w:sz w:val="24"/>
                <w:szCs w:val="24"/>
              </w:rPr>
              <w:t>Oil production volume (bpd)</w:t>
            </w:r>
          </w:p>
        </w:tc>
        <w:tc>
          <w:tcPr>
            <w:tcW w:w="1971" w:type="dxa"/>
          </w:tcPr>
          <w:p w:rsidR="0021441A" w:rsidRPr="009E0765" w:rsidRDefault="0021441A" w:rsidP="0021441A">
            <w:pPr>
              <w:spacing w:after="0"/>
              <w:rPr>
                <w:sz w:val="24"/>
                <w:szCs w:val="24"/>
                <w:lang w:val="en-GB"/>
              </w:rPr>
            </w:pPr>
            <w:r w:rsidRPr="009E0765">
              <w:rPr>
                <w:sz w:val="24"/>
                <w:szCs w:val="24"/>
              </w:rPr>
              <w:t>2.18 million</w:t>
            </w:r>
          </w:p>
        </w:tc>
        <w:tc>
          <w:tcPr>
            <w:tcW w:w="1971" w:type="dxa"/>
          </w:tcPr>
          <w:p w:rsidR="0021441A" w:rsidRPr="009E0765" w:rsidRDefault="0021441A" w:rsidP="0021441A">
            <w:pPr>
              <w:spacing w:after="0"/>
              <w:rPr>
                <w:sz w:val="24"/>
                <w:szCs w:val="24"/>
                <w:lang w:val="en-GB"/>
              </w:rPr>
            </w:pPr>
            <w:r w:rsidRPr="009E0765">
              <w:rPr>
                <w:sz w:val="24"/>
                <w:szCs w:val="24"/>
              </w:rPr>
              <w:t>1.80 million</w:t>
            </w:r>
          </w:p>
        </w:tc>
        <w:tc>
          <w:tcPr>
            <w:tcW w:w="1971" w:type="dxa"/>
          </w:tcPr>
          <w:p w:rsidR="0021441A" w:rsidRPr="009E0765" w:rsidRDefault="0021441A" w:rsidP="0021441A">
            <w:pPr>
              <w:spacing w:after="0"/>
              <w:rPr>
                <w:sz w:val="24"/>
                <w:szCs w:val="24"/>
                <w:lang w:val="en-GB"/>
              </w:rPr>
            </w:pPr>
            <w:r w:rsidRPr="009E0765">
              <w:rPr>
                <w:sz w:val="24"/>
                <w:szCs w:val="24"/>
              </w:rPr>
              <w:t>1.86 million</w:t>
            </w:r>
            <w:r w:rsidR="008E1F0B" w:rsidRPr="009E0765">
              <w:rPr>
                <w:sz w:val="24"/>
                <w:szCs w:val="24"/>
              </w:rPr>
              <w:t xml:space="preserve"> (including 300,000- 400,000 bpd in condensates)</w:t>
            </w:r>
          </w:p>
        </w:tc>
        <w:tc>
          <w:tcPr>
            <w:tcW w:w="1971" w:type="dxa"/>
          </w:tcPr>
          <w:p w:rsidR="0021441A" w:rsidRPr="009E0765" w:rsidRDefault="0021441A" w:rsidP="0021441A">
            <w:pPr>
              <w:spacing w:after="0"/>
              <w:rPr>
                <w:sz w:val="24"/>
                <w:szCs w:val="24"/>
                <w:lang w:val="en-GB"/>
              </w:rPr>
            </w:pPr>
            <w:r w:rsidRPr="009E0765">
              <w:rPr>
                <w:sz w:val="24"/>
                <w:szCs w:val="24"/>
              </w:rPr>
              <w:t>3%</w:t>
            </w:r>
          </w:p>
        </w:tc>
      </w:tr>
      <w:tr w:rsidR="0021441A" w:rsidRPr="00090EFC" w:rsidTr="0021441A">
        <w:tc>
          <w:tcPr>
            <w:tcW w:w="1970" w:type="dxa"/>
          </w:tcPr>
          <w:p w:rsidR="0021441A" w:rsidRPr="009E0765" w:rsidRDefault="0021441A" w:rsidP="009E0765">
            <w:pPr>
              <w:spacing w:after="0"/>
              <w:jc w:val="left"/>
              <w:rPr>
                <w:sz w:val="24"/>
                <w:szCs w:val="24"/>
                <w:lang w:val="en-GB"/>
              </w:rPr>
            </w:pPr>
            <w:r w:rsidRPr="009E0765">
              <w:rPr>
                <w:sz w:val="24"/>
                <w:szCs w:val="24"/>
              </w:rPr>
              <w:t>Average exchange rate</w:t>
            </w:r>
          </w:p>
        </w:tc>
        <w:tc>
          <w:tcPr>
            <w:tcW w:w="1971" w:type="dxa"/>
          </w:tcPr>
          <w:p w:rsidR="0021441A" w:rsidRPr="009E0765" w:rsidRDefault="0021441A" w:rsidP="0021441A">
            <w:pPr>
              <w:spacing w:after="0"/>
              <w:rPr>
                <w:sz w:val="24"/>
                <w:szCs w:val="24"/>
                <w:lang w:val="en-GB"/>
              </w:rPr>
            </w:pPr>
            <w:r w:rsidRPr="009E0765">
              <w:rPr>
                <w:sz w:val="24"/>
                <w:szCs w:val="24"/>
              </w:rPr>
              <w:t>₦305/ US$1</w:t>
            </w:r>
          </w:p>
        </w:tc>
        <w:tc>
          <w:tcPr>
            <w:tcW w:w="1971" w:type="dxa"/>
          </w:tcPr>
          <w:p w:rsidR="0021441A" w:rsidRPr="009E0765" w:rsidRDefault="0021441A" w:rsidP="0021441A">
            <w:pPr>
              <w:spacing w:after="0"/>
              <w:rPr>
                <w:sz w:val="24"/>
                <w:szCs w:val="24"/>
                <w:lang w:val="en-GB"/>
              </w:rPr>
            </w:pPr>
            <w:r w:rsidRPr="009E0765">
              <w:rPr>
                <w:sz w:val="24"/>
                <w:szCs w:val="24"/>
              </w:rPr>
              <w:t>₦360/ US$1</w:t>
            </w:r>
          </w:p>
        </w:tc>
        <w:tc>
          <w:tcPr>
            <w:tcW w:w="1971" w:type="dxa"/>
          </w:tcPr>
          <w:p w:rsidR="0021441A" w:rsidRPr="009E0765" w:rsidRDefault="0021441A" w:rsidP="0021441A">
            <w:pPr>
              <w:spacing w:after="0"/>
              <w:rPr>
                <w:sz w:val="24"/>
                <w:szCs w:val="24"/>
                <w:lang w:val="en-GB"/>
              </w:rPr>
            </w:pPr>
            <w:r w:rsidRPr="009E0765">
              <w:rPr>
                <w:sz w:val="24"/>
                <w:szCs w:val="24"/>
              </w:rPr>
              <w:t>₦379/ US$1</w:t>
            </w:r>
          </w:p>
        </w:tc>
        <w:tc>
          <w:tcPr>
            <w:tcW w:w="1971" w:type="dxa"/>
          </w:tcPr>
          <w:p w:rsidR="0021441A" w:rsidRPr="009E0765" w:rsidRDefault="0021441A" w:rsidP="0021441A">
            <w:pPr>
              <w:spacing w:after="0"/>
              <w:rPr>
                <w:sz w:val="24"/>
                <w:szCs w:val="24"/>
                <w:lang w:val="en-GB"/>
              </w:rPr>
            </w:pPr>
            <w:r w:rsidRPr="009E0765">
              <w:rPr>
                <w:sz w:val="24"/>
                <w:szCs w:val="24"/>
              </w:rPr>
              <w:t>5%</w:t>
            </w:r>
          </w:p>
        </w:tc>
      </w:tr>
      <w:tr w:rsidR="0021441A" w:rsidRPr="00090EFC" w:rsidTr="0021441A">
        <w:tc>
          <w:tcPr>
            <w:tcW w:w="1970" w:type="dxa"/>
          </w:tcPr>
          <w:p w:rsidR="0021441A" w:rsidRPr="009E0765" w:rsidRDefault="0021441A" w:rsidP="009E0765">
            <w:pPr>
              <w:spacing w:after="0"/>
              <w:jc w:val="left"/>
              <w:rPr>
                <w:sz w:val="24"/>
                <w:szCs w:val="24"/>
                <w:lang w:val="en-GB"/>
              </w:rPr>
            </w:pPr>
            <w:r w:rsidRPr="009E0765">
              <w:rPr>
                <w:sz w:val="24"/>
                <w:szCs w:val="24"/>
              </w:rPr>
              <w:t>GDP Growth rate (%)</w:t>
            </w:r>
          </w:p>
        </w:tc>
        <w:tc>
          <w:tcPr>
            <w:tcW w:w="1971" w:type="dxa"/>
          </w:tcPr>
          <w:p w:rsidR="0021441A" w:rsidRPr="009E0765" w:rsidRDefault="0021441A" w:rsidP="0021441A">
            <w:pPr>
              <w:spacing w:after="0"/>
              <w:rPr>
                <w:sz w:val="24"/>
                <w:szCs w:val="24"/>
                <w:lang w:val="en-GB"/>
              </w:rPr>
            </w:pPr>
            <w:r w:rsidRPr="009E0765">
              <w:rPr>
                <w:sz w:val="24"/>
                <w:szCs w:val="24"/>
              </w:rPr>
              <w:t>2.93</w:t>
            </w:r>
          </w:p>
        </w:tc>
        <w:tc>
          <w:tcPr>
            <w:tcW w:w="1971" w:type="dxa"/>
          </w:tcPr>
          <w:p w:rsidR="0021441A" w:rsidRPr="009E0765" w:rsidRDefault="0021441A" w:rsidP="0021441A">
            <w:pPr>
              <w:spacing w:after="0"/>
              <w:rPr>
                <w:sz w:val="24"/>
                <w:szCs w:val="24"/>
                <w:lang w:val="en-GB"/>
              </w:rPr>
            </w:pPr>
            <w:r w:rsidRPr="009E0765">
              <w:rPr>
                <w:sz w:val="24"/>
                <w:szCs w:val="24"/>
              </w:rPr>
              <w:t>-4.42</w:t>
            </w:r>
          </w:p>
        </w:tc>
        <w:tc>
          <w:tcPr>
            <w:tcW w:w="1971" w:type="dxa"/>
          </w:tcPr>
          <w:p w:rsidR="0021441A" w:rsidRPr="009E0765" w:rsidRDefault="0021441A" w:rsidP="0021441A">
            <w:pPr>
              <w:spacing w:after="0"/>
              <w:rPr>
                <w:sz w:val="24"/>
                <w:szCs w:val="24"/>
                <w:lang w:val="en-GB"/>
              </w:rPr>
            </w:pPr>
            <w:r w:rsidRPr="009E0765">
              <w:rPr>
                <w:sz w:val="24"/>
                <w:szCs w:val="24"/>
              </w:rPr>
              <w:t>3</w:t>
            </w:r>
          </w:p>
        </w:tc>
        <w:tc>
          <w:tcPr>
            <w:tcW w:w="1971" w:type="dxa"/>
          </w:tcPr>
          <w:p w:rsidR="0021441A" w:rsidRPr="009E0765" w:rsidRDefault="0021441A" w:rsidP="0021441A">
            <w:pPr>
              <w:spacing w:after="0"/>
              <w:rPr>
                <w:sz w:val="24"/>
                <w:szCs w:val="24"/>
                <w:lang w:val="en-GB"/>
              </w:rPr>
            </w:pPr>
            <w:r w:rsidRPr="009E0765">
              <w:rPr>
                <w:sz w:val="24"/>
                <w:szCs w:val="24"/>
              </w:rPr>
              <w:t>168%</w:t>
            </w:r>
          </w:p>
        </w:tc>
      </w:tr>
      <w:tr w:rsidR="0021441A" w:rsidRPr="00090EFC" w:rsidTr="0021441A">
        <w:tc>
          <w:tcPr>
            <w:tcW w:w="1970" w:type="dxa"/>
          </w:tcPr>
          <w:p w:rsidR="0021441A" w:rsidRPr="009E0765" w:rsidRDefault="0021441A" w:rsidP="009E0765">
            <w:pPr>
              <w:spacing w:after="0"/>
              <w:jc w:val="left"/>
              <w:rPr>
                <w:sz w:val="24"/>
                <w:szCs w:val="24"/>
                <w:lang w:val="en-GB"/>
              </w:rPr>
            </w:pPr>
            <w:r w:rsidRPr="009E0765">
              <w:rPr>
                <w:sz w:val="24"/>
                <w:szCs w:val="24"/>
              </w:rPr>
              <w:t>Capital expenditure</w:t>
            </w:r>
          </w:p>
        </w:tc>
        <w:tc>
          <w:tcPr>
            <w:tcW w:w="1971" w:type="dxa"/>
          </w:tcPr>
          <w:p w:rsidR="0021441A" w:rsidRPr="009E0765" w:rsidRDefault="0021441A" w:rsidP="0021441A">
            <w:pPr>
              <w:spacing w:after="0"/>
              <w:rPr>
                <w:sz w:val="24"/>
                <w:szCs w:val="24"/>
                <w:lang w:val="en-GB"/>
              </w:rPr>
            </w:pPr>
            <w:r w:rsidRPr="009E0765">
              <w:rPr>
                <w:sz w:val="24"/>
                <w:szCs w:val="24"/>
              </w:rPr>
              <w:t>₦2.47 trillion</w:t>
            </w:r>
          </w:p>
        </w:tc>
        <w:tc>
          <w:tcPr>
            <w:tcW w:w="1971" w:type="dxa"/>
          </w:tcPr>
          <w:p w:rsidR="0021441A" w:rsidRPr="009E0765" w:rsidRDefault="0021441A" w:rsidP="0021441A">
            <w:pPr>
              <w:spacing w:after="0"/>
              <w:rPr>
                <w:sz w:val="24"/>
                <w:szCs w:val="24"/>
                <w:lang w:val="en-GB"/>
              </w:rPr>
            </w:pPr>
            <w:r w:rsidRPr="009E0765">
              <w:rPr>
                <w:sz w:val="24"/>
                <w:szCs w:val="24"/>
              </w:rPr>
              <w:t>₦2.69 trillion</w:t>
            </w:r>
          </w:p>
        </w:tc>
        <w:tc>
          <w:tcPr>
            <w:tcW w:w="1971" w:type="dxa"/>
          </w:tcPr>
          <w:p w:rsidR="0021441A" w:rsidRPr="009E0765" w:rsidRDefault="0021441A" w:rsidP="0021441A">
            <w:pPr>
              <w:spacing w:after="0"/>
              <w:rPr>
                <w:sz w:val="24"/>
                <w:szCs w:val="24"/>
                <w:lang w:val="en-GB"/>
              </w:rPr>
            </w:pPr>
            <w:r w:rsidRPr="009E0765">
              <w:rPr>
                <w:sz w:val="24"/>
                <w:szCs w:val="24"/>
              </w:rPr>
              <w:t>₦3.85 trillion</w:t>
            </w:r>
          </w:p>
        </w:tc>
        <w:tc>
          <w:tcPr>
            <w:tcW w:w="1971" w:type="dxa"/>
          </w:tcPr>
          <w:p w:rsidR="0021441A" w:rsidRPr="009E0765" w:rsidRDefault="0021441A" w:rsidP="0021441A">
            <w:pPr>
              <w:spacing w:after="0"/>
              <w:rPr>
                <w:sz w:val="24"/>
                <w:szCs w:val="24"/>
                <w:lang w:val="en-GB"/>
              </w:rPr>
            </w:pPr>
            <w:r w:rsidRPr="009E0765">
              <w:rPr>
                <w:sz w:val="24"/>
                <w:szCs w:val="24"/>
              </w:rPr>
              <w:t>43%</w:t>
            </w:r>
          </w:p>
        </w:tc>
      </w:tr>
      <w:tr w:rsidR="0021441A" w:rsidRPr="00090EFC" w:rsidTr="0021441A">
        <w:tc>
          <w:tcPr>
            <w:tcW w:w="1970" w:type="dxa"/>
          </w:tcPr>
          <w:p w:rsidR="0021441A" w:rsidRPr="009E0765" w:rsidRDefault="0021441A" w:rsidP="009E0765">
            <w:pPr>
              <w:spacing w:after="0"/>
              <w:jc w:val="left"/>
              <w:rPr>
                <w:sz w:val="24"/>
                <w:szCs w:val="24"/>
                <w:lang w:val="en-GB"/>
              </w:rPr>
            </w:pPr>
            <w:r w:rsidRPr="009E0765">
              <w:rPr>
                <w:sz w:val="24"/>
                <w:szCs w:val="24"/>
              </w:rPr>
              <w:t>Statutory transfer</w:t>
            </w:r>
            <w:r w:rsidR="008E1F0B" w:rsidRPr="009E0765">
              <w:rPr>
                <w:sz w:val="24"/>
                <w:szCs w:val="24"/>
              </w:rPr>
              <w:t>s</w:t>
            </w:r>
          </w:p>
        </w:tc>
        <w:tc>
          <w:tcPr>
            <w:tcW w:w="1971" w:type="dxa"/>
          </w:tcPr>
          <w:p w:rsidR="0021441A" w:rsidRPr="009E0765" w:rsidRDefault="0021441A" w:rsidP="0021441A">
            <w:pPr>
              <w:spacing w:after="0"/>
              <w:rPr>
                <w:sz w:val="24"/>
                <w:szCs w:val="24"/>
                <w:lang w:val="en-GB"/>
              </w:rPr>
            </w:pPr>
            <w:r w:rsidRPr="009E0765">
              <w:rPr>
                <w:sz w:val="24"/>
                <w:szCs w:val="24"/>
              </w:rPr>
              <w:t>₦0.56 trillion</w:t>
            </w:r>
          </w:p>
        </w:tc>
        <w:tc>
          <w:tcPr>
            <w:tcW w:w="1971" w:type="dxa"/>
          </w:tcPr>
          <w:p w:rsidR="0021441A" w:rsidRPr="009E0765" w:rsidRDefault="0021441A" w:rsidP="0021441A">
            <w:pPr>
              <w:spacing w:after="0"/>
              <w:rPr>
                <w:sz w:val="24"/>
                <w:szCs w:val="24"/>
                <w:lang w:val="en-GB"/>
              </w:rPr>
            </w:pPr>
            <w:r w:rsidRPr="009E0765">
              <w:rPr>
                <w:sz w:val="24"/>
                <w:szCs w:val="24"/>
              </w:rPr>
              <w:t>₦0.43 trillion</w:t>
            </w:r>
          </w:p>
        </w:tc>
        <w:tc>
          <w:tcPr>
            <w:tcW w:w="1971" w:type="dxa"/>
          </w:tcPr>
          <w:p w:rsidR="0021441A" w:rsidRPr="009E0765" w:rsidRDefault="0021441A" w:rsidP="0021441A">
            <w:pPr>
              <w:spacing w:after="0"/>
              <w:rPr>
                <w:sz w:val="24"/>
                <w:szCs w:val="24"/>
                <w:lang w:val="en-GB"/>
              </w:rPr>
            </w:pPr>
            <w:r w:rsidRPr="009E0765">
              <w:rPr>
                <w:sz w:val="24"/>
                <w:szCs w:val="24"/>
              </w:rPr>
              <w:t>₦0.48 trillion</w:t>
            </w:r>
          </w:p>
        </w:tc>
        <w:tc>
          <w:tcPr>
            <w:tcW w:w="1971" w:type="dxa"/>
          </w:tcPr>
          <w:p w:rsidR="0021441A" w:rsidRPr="009E0765" w:rsidRDefault="0021441A" w:rsidP="0021441A">
            <w:pPr>
              <w:spacing w:after="0"/>
              <w:rPr>
                <w:sz w:val="24"/>
                <w:szCs w:val="24"/>
                <w:lang w:val="en-GB"/>
              </w:rPr>
            </w:pPr>
            <w:r w:rsidRPr="009E0765">
              <w:rPr>
                <w:sz w:val="24"/>
                <w:szCs w:val="24"/>
              </w:rPr>
              <w:t>13%</w:t>
            </w:r>
          </w:p>
        </w:tc>
      </w:tr>
      <w:tr w:rsidR="0021441A" w:rsidRPr="00090EFC" w:rsidTr="0021441A">
        <w:tc>
          <w:tcPr>
            <w:tcW w:w="1970" w:type="dxa"/>
          </w:tcPr>
          <w:p w:rsidR="0021441A" w:rsidRPr="009E0765" w:rsidRDefault="0021441A" w:rsidP="009E0765">
            <w:pPr>
              <w:spacing w:after="0"/>
              <w:jc w:val="left"/>
              <w:rPr>
                <w:sz w:val="24"/>
                <w:szCs w:val="24"/>
                <w:lang w:val="en-GB"/>
              </w:rPr>
            </w:pPr>
            <w:r w:rsidRPr="009E0765">
              <w:rPr>
                <w:sz w:val="24"/>
                <w:szCs w:val="24"/>
              </w:rPr>
              <w:t>Debt service</w:t>
            </w:r>
          </w:p>
        </w:tc>
        <w:tc>
          <w:tcPr>
            <w:tcW w:w="1971" w:type="dxa"/>
          </w:tcPr>
          <w:p w:rsidR="0021441A" w:rsidRPr="009E0765" w:rsidRDefault="0021441A" w:rsidP="0021441A">
            <w:pPr>
              <w:spacing w:after="0"/>
              <w:rPr>
                <w:sz w:val="24"/>
                <w:szCs w:val="24"/>
                <w:lang w:val="en-GB"/>
              </w:rPr>
            </w:pPr>
            <w:r w:rsidRPr="009E0765">
              <w:rPr>
                <w:sz w:val="24"/>
                <w:szCs w:val="24"/>
              </w:rPr>
              <w:t>₦2.43 trillion</w:t>
            </w:r>
          </w:p>
        </w:tc>
        <w:tc>
          <w:tcPr>
            <w:tcW w:w="1971" w:type="dxa"/>
          </w:tcPr>
          <w:p w:rsidR="0021441A" w:rsidRPr="009E0765" w:rsidRDefault="0021441A" w:rsidP="0021441A">
            <w:pPr>
              <w:spacing w:after="0"/>
              <w:rPr>
                <w:sz w:val="24"/>
                <w:szCs w:val="24"/>
                <w:lang w:val="en-GB"/>
              </w:rPr>
            </w:pPr>
            <w:r w:rsidRPr="009E0765">
              <w:rPr>
                <w:sz w:val="24"/>
                <w:szCs w:val="24"/>
              </w:rPr>
              <w:t>₦2.68 trillion</w:t>
            </w:r>
          </w:p>
        </w:tc>
        <w:tc>
          <w:tcPr>
            <w:tcW w:w="1971" w:type="dxa"/>
          </w:tcPr>
          <w:p w:rsidR="0021441A" w:rsidRPr="009E0765" w:rsidRDefault="0021441A" w:rsidP="0021441A">
            <w:pPr>
              <w:spacing w:after="0"/>
              <w:rPr>
                <w:sz w:val="24"/>
                <w:szCs w:val="24"/>
                <w:lang w:val="en-GB"/>
              </w:rPr>
            </w:pPr>
            <w:r w:rsidRPr="009E0765">
              <w:rPr>
                <w:sz w:val="24"/>
                <w:szCs w:val="24"/>
              </w:rPr>
              <w:t>₦3.12 trillion</w:t>
            </w:r>
          </w:p>
        </w:tc>
        <w:tc>
          <w:tcPr>
            <w:tcW w:w="1971" w:type="dxa"/>
          </w:tcPr>
          <w:p w:rsidR="0021441A" w:rsidRPr="009E0765" w:rsidRDefault="0021441A" w:rsidP="0021441A">
            <w:pPr>
              <w:spacing w:after="0"/>
              <w:rPr>
                <w:sz w:val="24"/>
                <w:szCs w:val="24"/>
                <w:lang w:val="en-GB"/>
              </w:rPr>
            </w:pPr>
            <w:r w:rsidRPr="009E0765">
              <w:rPr>
                <w:sz w:val="24"/>
                <w:szCs w:val="24"/>
              </w:rPr>
              <w:t>16%</w:t>
            </w:r>
          </w:p>
        </w:tc>
      </w:tr>
      <w:tr w:rsidR="0021441A" w:rsidRPr="00090EFC" w:rsidTr="0021441A">
        <w:tc>
          <w:tcPr>
            <w:tcW w:w="1970" w:type="dxa"/>
          </w:tcPr>
          <w:p w:rsidR="0021441A" w:rsidRPr="009E0765" w:rsidRDefault="0021441A" w:rsidP="009E0765">
            <w:pPr>
              <w:spacing w:after="0"/>
              <w:jc w:val="left"/>
              <w:rPr>
                <w:sz w:val="24"/>
                <w:szCs w:val="24"/>
                <w:lang w:val="en-GB"/>
              </w:rPr>
            </w:pPr>
            <w:r w:rsidRPr="009E0765">
              <w:rPr>
                <w:sz w:val="24"/>
                <w:szCs w:val="24"/>
              </w:rPr>
              <w:t>Recurrent expenditure (non-debt)</w:t>
            </w:r>
          </w:p>
        </w:tc>
        <w:tc>
          <w:tcPr>
            <w:tcW w:w="1971" w:type="dxa"/>
          </w:tcPr>
          <w:p w:rsidR="0021441A" w:rsidRPr="009E0765" w:rsidRDefault="0021441A" w:rsidP="0021441A">
            <w:pPr>
              <w:spacing w:after="0"/>
              <w:rPr>
                <w:sz w:val="24"/>
                <w:szCs w:val="24"/>
                <w:lang w:val="en-GB"/>
              </w:rPr>
            </w:pPr>
            <w:r w:rsidRPr="009E0765">
              <w:rPr>
                <w:sz w:val="24"/>
                <w:szCs w:val="24"/>
              </w:rPr>
              <w:t>₦4.49 trillion</w:t>
            </w:r>
          </w:p>
        </w:tc>
        <w:tc>
          <w:tcPr>
            <w:tcW w:w="1971" w:type="dxa"/>
          </w:tcPr>
          <w:p w:rsidR="0021441A" w:rsidRPr="009E0765" w:rsidRDefault="0021441A" w:rsidP="0021441A">
            <w:pPr>
              <w:spacing w:after="0"/>
              <w:rPr>
                <w:sz w:val="24"/>
                <w:szCs w:val="24"/>
                <w:lang w:val="en-GB"/>
              </w:rPr>
            </w:pPr>
            <w:r w:rsidRPr="009E0765">
              <w:rPr>
                <w:sz w:val="24"/>
                <w:szCs w:val="24"/>
              </w:rPr>
              <w:t>₦4.94 trillion</w:t>
            </w:r>
          </w:p>
        </w:tc>
        <w:tc>
          <w:tcPr>
            <w:tcW w:w="1971" w:type="dxa"/>
          </w:tcPr>
          <w:p w:rsidR="0021441A" w:rsidRPr="009E0765" w:rsidRDefault="0021441A" w:rsidP="0021441A">
            <w:pPr>
              <w:spacing w:after="0"/>
              <w:rPr>
                <w:sz w:val="24"/>
                <w:szCs w:val="24"/>
                <w:lang w:val="en-GB"/>
              </w:rPr>
            </w:pPr>
            <w:r w:rsidRPr="009E0765">
              <w:rPr>
                <w:sz w:val="24"/>
                <w:szCs w:val="24"/>
              </w:rPr>
              <w:t>₦5.65 trillion</w:t>
            </w:r>
          </w:p>
        </w:tc>
        <w:tc>
          <w:tcPr>
            <w:tcW w:w="1971" w:type="dxa"/>
          </w:tcPr>
          <w:p w:rsidR="0021441A" w:rsidRPr="009E0765" w:rsidRDefault="0021441A" w:rsidP="0021441A">
            <w:pPr>
              <w:spacing w:after="0"/>
              <w:rPr>
                <w:sz w:val="24"/>
                <w:szCs w:val="24"/>
                <w:lang w:val="en-GB"/>
              </w:rPr>
            </w:pPr>
            <w:r w:rsidRPr="009E0765">
              <w:rPr>
                <w:sz w:val="24"/>
                <w:szCs w:val="24"/>
              </w:rPr>
              <w:t>14%</w:t>
            </w:r>
          </w:p>
        </w:tc>
      </w:tr>
      <w:tr w:rsidR="0021441A" w:rsidRPr="00090EFC" w:rsidTr="0021441A">
        <w:tc>
          <w:tcPr>
            <w:tcW w:w="1970" w:type="dxa"/>
          </w:tcPr>
          <w:p w:rsidR="0021441A" w:rsidRPr="009E0765" w:rsidRDefault="0021441A" w:rsidP="009E0765">
            <w:pPr>
              <w:spacing w:after="0"/>
              <w:jc w:val="left"/>
              <w:rPr>
                <w:sz w:val="24"/>
                <w:szCs w:val="24"/>
                <w:lang w:val="en-GB"/>
              </w:rPr>
            </w:pPr>
            <w:r w:rsidRPr="009E0765">
              <w:rPr>
                <w:sz w:val="24"/>
                <w:szCs w:val="24"/>
              </w:rPr>
              <w:t>Total revenue</w:t>
            </w:r>
          </w:p>
        </w:tc>
        <w:tc>
          <w:tcPr>
            <w:tcW w:w="1971" w:type="dxa"/>
          </w:tcPr>
          <w:p w:rsidR="0021441A" w:rsidRPr="009E0765" w:rsidRDefault="0021441A" w:rsidP="0021441A">
            <w:pPr>
              <w:spacing w:after="0"/>
              <w:rPr>
                <w:sz w:val="24"/>
                <w:szCs w:val="24"/>
                <w:lang w:val="en-GB"/>
              </w:rPr>
            </w:pPr>
            <w:r w:rsidRPr="009E0765">
              <w:rPr>
                <w:sz w:val="24"/>
                <w:szCs w:val="24"/>
              </w:rPr>
              <w:t>₦8.42 trillion</w:t>
            </w:r>
          </w:p>
        </w:tc>
        <w:tc>
          <w:tcPr>
            <w:tcW w:w="1971" w:type="dxa"/>
          </w:tcPr>
          <w:p w:rsidR="0021441A" w:rsidRPr="009E0765" w:rsidRDefault="0021441A" w:rsidP="0021441A">
            <w:pPr>
              <w:spacing w:after="0"/>
              <w:rPr>
                <w:sz w:val="24"/>
                <w:szCs w:val="24"/>
                <w:lang w:val="en-GB"/>
              </w:rPr>
            </w:pPr>
            <w:r w:rsidRPr="009E0765">
              <w:rPr>
                <w:sz w:val="24"/>
                <w:szCs w:val="24"/>
              </w:rPr>
              <w:t>₦5.84 trillion</w:t>
            </w:r>
          </w:p>
        </w:tc>
        <w:tc>
          <w:tcPr>
            <w:tcW w:w="1971" w:type="dxa"/>
          </w:tcPr>
          <w:p w:rsidR="0021441A" w:rsidRPr="009E0765" w:rsidRDefault="0021441A" w:rsidP="0021441A">
            <w:pPr>
              <w:spacing w:after="0"/>
              <w:rPr>
                <w:sz w:val="24"/>
                <w:szCs w:val="24"/>
                <w:lang w:val="en-GB"/>
              </w:rPr>
            </w:pPr>
            <w:r w:rsidRPr="009E0765">
              <w:rPr>
                <w:sz w:val="24"/>
                <w:szCs w:val="24"/>
              </w:rPr>
              <w:t>₦8.43 trillion</w:t>
            </w:r>
          </w:p>
        </w:tc>
        <w:tc>
          <w:tcPr>
            <w:tcW w:w="1971" w:type="dxa"/>
          </w:tcPr>
          <w:p w:rsidR="0021441A" w:rsidRPr="009E0765" w:rsidRDefault="0021441A" w:rsidP="0021441A">
            <w:pPr>
              <w:spacing w:after="0"/>
              <w:rPr>
                <w:sz w:val="24"/>
                <w:szCs w:val="24"/>
                <w:lang w:val="en-GB"/>
              </w:rPr>
            </w:pPr>
            <w:r w:rsidRPr="009E0765">
              <w:rPr>
                <w:sz w:val="24"/>
                <w:szCs w:val="24"/>
              </w:rPr>
              <w:t>44%</w:t>
            </w:r>
          </w:p>
        </w:tc>
      </w:tr>
      <w:tr w:rsidR="0021441A" w:rsidRPr="00090EFC" w:rsidTr="0021441A">
        <w:tc>
          <w:tcPr>
            <w:tcW w:w="1970" w:type="dxa"/>
          </w:tcPr>
          <w:p w:rsidR="0021441A" w:rsidRPr="009E0765" w:rsidRDefault="0021441A" w:rsidP="009E0765">
            <w:pPr>
              <w:spacing w:after="0"/>
              <w:jc w:val="left"/>
              <w:rPr>
                <w:sz w:val="24"/>
                <w:szCs w:val="24"/>
                <w:lang w:val="en-GB"/>
              </w:rPr>
            </w:pPr>
            <w:r w:rsidRPr="009E0765">
              <w:rPr>
                <w:sz w:val="24"/>
                <w:szCs w:val="24"/>
              </w:rPr>
              <w:t>Total expenditure</w:t>
            </w:r>
          </w:p>
        </w:tc>
        <w:tc>
          <w:tcPr>
            <w:tcW w:w="1971" w:type="dxa"/>
          </w:tcPr>
          <w:p w:rsidR="0021441A" w:rsidRPr="009E0765" w:rsidRDefault="0021441A" w:rsidP="0021441A">
            <w:pPr>
              <w:spacing w:after="0"/>
              <w:rPr>
                <w:sz w:val="24"/>
                <w:szCs w:val="24"/>
                <w:lang w:val="en-GB"/>
              </w:rPr>
            </w:pPr>
            <w:r w:rsidRPr="009E0765">
              <w:rPr>
                <w:sz w:val="24"/>
                <w:szCs w:val="24"/>
              </w:rPr>
              <w:t>₦10.59 trillion</w:t>
            </w:r>
          </w:p>
        </w:tc>
        <w:tc>
          <w:tcPr>
            <w:tcW w:w="1971" w:type="dxa"/>
          </w:tcPr>
          <w:p w:rsidR="0021441A" w:rsidRPr="009E0765" w:rsidRDefault="0021441A" w:rsidP="0021441A">
            <w:pPr>
              <w:spacing w:after="0"/>
              <w:rPr>
                <w:sz w:val="24"/>
                <w:szCs w:val="24"/>
                <w:lang w:val="en-GB"/>
              </w:rPr>
            </w:pPr>
            <w:r w:rsidRPr="009E0765">
              <w:rPr>
                <w:sz w:val="24"/>
                <w:szCs w:val="24"/>
              </w:rPr>
              <w:t>₦10.81 trillion</w:t>
            </w:r>
          </w:p>
        </w:tc>
        <w:tc>
          <w:tcPr>
            <w:tcW w:w="1971" w:type="dxa"/>
          </w:tcPr>
          <w:p w:rsidR="0021441A" w:rsidRPr="009E0765" w:rsidRDefault="0021441A" w:rsidP="0021441A">
            <w:pPr>
              <w:spacing w:after="0"/>
              <w:rPr>
                <w:sz w:val="24"/>
                <w:szCs w:val="24"/>
                <w:lang w:val="en-GB"/>
              </w:rPr>
            </w:pPr>
            <w:r w:rsidRPr="009E0765">
              <w:rPr>
                <w:sz w:val="24"/>
                <w:szCs w:val="24"/>
              </w:rPr>
              <w:t>₦13.08 trillion</w:t>
            </w:r>
          </w:p>
        </w:tc>
        <w:tc>
          <w:tcPr>
            <w:tcW w:w="1971" w:type="dxa"/>
          </w:tcPr>
          <w:p w:rsidR="0021441A" w:rsidRPr="009E0765" w:rsidRDefault="0021441A" w:rsidP="0021441A">
            <w:pPr>
              <w:spacing w:after="0"/>
              <w:rPr>
                <w:sz w:val="24"/>
                <w:szCs w:val="24"/>
                <w:lang w:val="en-GB"/>
              </w:rPr>
            </w:pPr>
            <w:r w:rsidRPr="009E0765">
              <w:rPr>
                <w:sz w:val="24"/>
                <w:szCs w:val="24"/>
              </w:rPr>
              <w:t>21%</w:t>
            </w:r>
          </w:p>
        </w:tc>
      </w:tr>
      <w:tr w:rsidR="0021441A" w:rsidRPr="00090EFC" w:rsidTr="0021441A">
        <w:tc>
          <w:tcPr>
            <w:tcW w:w="1970" w:type="dxa"/>
          </w:tcPr>
          <w:p w:rsidR="0021441A" w:rsidRPr="009E0765" w:rsidRDefault="0021441A" w:rsidP="009E0765">
            <w:pPr>
              <w:spacing w:after="0"/>
              <w:jc w:val="left"/>
              <w:rPr>
                <w:sz w:val="24"/>
                <w:szCs w:val="24"/>
                <w:lang w:val="en-GB"/>
              </w:rPr>
            </w:pPr>
            <w:r w:rsidRPr="009E0765">
              <w:rPr>
                <w:sz w:val="24"/>
                <w:szCs w:val="24"/>
              </w:rPr>
              <w:t>Statutory transfer</w:t>
            </w:r>
          </w:p>
        </w:tc>
        <w:tc>
          <w:tcPr>
            <w:tcW w:w="1971" w:type="dxa"/>
          </w:tcPr>
          <w:p w:rsidR="0021441A" w:rsidRPr="009E0765" w:rsidRDefault="0021441A" w:rsidP="0021441A">
            <w:pPr>
              <w:spacing w:after="0"/>
              <w:rPr>
                <w:sz w:val="24"/>
                <w:szCs w:val="24"/>
                <w:lang w:val="en-GB"/>
              </w:rPr>
            </w:pPr>
            <w:r w:rsidRPr="009E0765">
              <w:rPr>
                <w:sz w:val="24"/>
                <w:szCs w:val="24"/>
              </w:rPr>
              <w:t>₦0.56 trillion</w:t>
            </w:r>
          </w:p>
        </w:tc>
        <w:tc>
          <w:tcPr>
            <w:tcW w:w="1971" w:type="dxa"/>
          </w:tcPr>
          <w:p w:rsidR="0021441A" w:rsidRPr="009E0765" w:rsidRDefault="0021441A" w:rsidP="0021441A">
            <w:pPr>
              <w:spacing w:after="0"/>
              <w:rPr>
                <w:sz w:val="24"/>
                <w:szCs w:val="24"/>
                <w:lang w:val="en-GB"/>
              </w:rPr>
            </w:pPr>
            <w:r w:rsidRPr="009E0765">
              <w:rPr>
                <w:sz w:val="24"/>
                <w:szCs w:val="24"/>
              </w:rPr>
              <w:t>₦0.43 trillion</w:t>
            </w:r>
          </w:p>
        </w:tc>
        <w:tc>
          <w:tcPr>
            <w:tcW w:w="1971" w:type="dxa"/>
          </w:tcPr>
          <w:p w:rsidR="0021441A" w:rsidRPr="009E0765" w:rsidRDefault="0021441A" w:rsidP="0021441A">
            <w:pPr>
              <w:spacing w:after="0"/>
              <w:rPr>
                <w:sz w:val="24"/>
                <w:szCs w:val="24"/>
                <w:lang w:val="en-GB"/>
              </w:rPr>
            </w:pPr>
            <w:r w:rsidRPr="009E0765">
              <w:rPr>
                <w:sz w:val="24"/>
                <w:szCs w:val="24"/>
              </w:rPr>
              <w:t>₦0.48 trillion</w:t>
            </w:r>
          </w:p>
        </w:tc>
        <w:tc>
          <w:tcPr>
            <w:tcW w:w="1971" w:type="dxa"/>
          </w:tcPr>
          <w:p w:rsidR="0021441A" w:rsidRPr="009E0765" w:rsidRDefault="0021441A" w:rsidP="0021441A">
            <w:pPr>
              <w:spacing w:after="0"/>
              <w:rPr>
                <w:sz w:val="24"/>
                <w:szCs w:val="24"/>
                <w:lang w:val="en-GB"/>
              </w:rPr>
            </w:pPr>
            <w:r w:rsidRPr="009E0765">
              <w:rPr>
                <w:sz w:val="24"/>
                <w:szCs w:val="24"/>
              </w:rPr>
              <w:t>13%</w:t>
            </w:r>
          </w:p>
        </w:tc>
      </w:tr>
      <w:tr w:rsidR="0021441A" w:rsidRPr="00090EFC" w:rsidTr="0021441A">
        <w:tc>
          <w:tcPr>
            <w:tcW w:w="1970" w:type="dxa"/>
          </w:tcPr>
          <w:p w:rsidR="0021441A" w:rsidRPr="009E0765" w:rsidRDefault="0021441A" w:rsidP="009E0765">
            <w:pPr>
              <w:spacing w:after="0"/>
              <w:jc w:val="left"/>
              <w:rPr>
                <w:sz w:val="24"/>
                <w:szCs w:val="24"/>
              </w:rPr>
            </w:pPr>
            <w:r w:rsidRPr="009E0765">
              <w:rPr>
                <w:sz w:val="24"/>
                <w:szCs w:val="24"/>
              </w:rPr>
              <w:t>Debt service</w:t>
            </w:r>
          </w:p>
        </w:tc>
        <w:tc>
          <w:tcPr>
            <w:tcW w:w="1971" w:type="dxa"/>
          </w:tcPr>
          <w:p w:rsidR="0021441A" w:rsidRPr="009E0765" w:rsidRDefault="0021441A" w:rsidP="0021441A">
            <w:pPr>
              <w:spacing w:after="0"/>
              <w:rPr>
                <w:sz w:val="24"/>
                <w:szCs w:val="24"/>
              </w:rPr>
            </w:pPr>
            <w:r w:rsidRPr="009E0765">
              <w:rPr>
                <w:sz w:val="24"/>
                <w:szCs w:val="24"/>
              </w:rPr>
              <w:t>₦2.43 trillion</w:t>
            </w:r>
          </w:p>
        </w:tc>
        <w:tc>
          <w:tcPr>
            <w:tcW w:w="1971" w:type="dxa"/>
          </w:tcPr>
          <w:p w:rsidR="0021441A" w:rsidRPr="009E0765" w:rsidRDefault="0021441A" w:rsidP="0021441A">
            <w:pPr>
              <w:spacing w:after="0"/>
              <w:rPr>
                <w:sz w:val="24"/>
                <w:szCs w:val="24"/>
              </w:rPr>
            </w:pPr>
            <w:r w:rsidRPr="009E0765">
              <w:rPr>
                <w:sz w:val="24"/>
                <w:szCs w:val="24"/>
              </w:rPr>
              <w:t>₦2.68 trillion</w:t>
            </w:r>
          </w:p>
        </w:tc>
        <w:tc>
          <w:tcPr>
            <w:tcW w:w="1971" w:type="dxa"/>
          </w:tcPr>
          <w:p w:rsidR="0021441A" w:rsidRPr="009E0765" w:rsidRDefault="0021441A" w:rsidP="0021441A">
            <w:pPr>
              <w:spacing w:after="0"/>
              <w:rPr>
                <w:sz w:val="24"/>
                <w:szCs w:val="24"/>
              </w:rPr>
            </w:pPr>
            <w:r w:rsidRPr="009E0765">
              <w:rPr>
                <w:sz w:val="24"/>
                <w:szCs w:val="24"/>
              </w:rPr>
              <w:t>₦3.12 trillion</w:t>
            </w:r>
          </w:p>
        </w:tc>
        <w:tc>
          <w:tcPr>
            <w:tcW w:w="1971" w:type="dxa"/>
          </w:tcPr>
          <w:p w:rsidR="0021441A" w:rsidRPr="009E0765" w:rsidRDefault="0021441A" w:rsidP="0021441A">
            <w:pPr>
              <w:spacing w:after="0"/>
              <w:rPr>
                <w:sz w:val="24"/>
                <w:szCs w:val="24"/>
              </w:rPr>
            </w:pPr>
            <w:r w:rsidRPr="009E0765">
              <w:rPr>
                <w:sz w:val="24"/>
                <w:szCs w:val="24"/>
              </w:rPr>
              <w:t>16%</w:t>
            </w:r>
          </w:p>
        </w:tc>
      </w:tr>
      <w:tr w:rsidR="0021441A" w:rsidRPr="00090EFC" w:rsidTr="0021441A">
        <w:tc>
          <w:tcPr>
            <w:tcW w:w="1970" w:type="dxa"/>
          </w:tcPr>
          <w:p w:rsidR="0021441A" w:rsidRPr="009E0765" w:rsidRDefault="0021441A" w:rsidP="009E0765">
            <w:pPr>
              <w:spacing w:after="0"/>
              <w:jc w:val="left"/>
              <w:rPr>
                <w:sz w:val="24"/>
                <w:szCs w:val="24"/>
              </w:rPr>
            </w:pPr>
            <w:r w:rsidRPr="009E0765">
              <w:rPr>
                <w:sz w:val="24"/>
                <w:szCs w:val="24"/>
              </w:rPr>
              <w:t>Recurrent expenditure (non-debt)</w:t>
            </w:r>
          </w:p>
        </w:tc>
        <w:tc>
          <w:tcPr>
            <w:tcW w:w="1971" w:type="dxa"/>
          </w:tcPr>
          <w:p w:rsidR="0021441A" w:rsidRPr="009E0765" w:rsidRDefault="0021441A" w:rsidP="0021441A">
            <w:pPr>
              <w:spacing w:after="0"/>
              <w:rPr>
                <w:sz w:val="24"/>
                <w:szCs w:val="24"/>
              </w:rPr>
            </w:pPr>
            <w:r w:rsidRPr="009E0765">
              <w:rPr>
                <w:sz w:val="24"/>
                <w:szCs w:val="24"/>
              </w:rPr>
              <w:t>₦4.49 trillion</w:t>
            </w:r>
          </w:p>
        </w:tc>
        <w:tc>
          <w:tcPr>
            <w:tcW w:w="1971" w:type="dxa"/>
          </w:tcPr>
          <w:p w:rsidR="0021441A" w:rsidRPr="009E0765" w:rsidRDefault="0021441A" w:rsidP="0021441A">
            <w:pPr>
              <w:spacing w:after="0"/>
              <w:rPr>
                <w:sz w:val="24"/>
                <w:szCs w:val="24"/>
              </w:rPr>
            </w:pPr>
            <w:r w:rsidRPr="009E0765">
              <w:rPr>
                <w:sz w:val="24"/>
                <w:szCs w:val="24"/>
              </w:rPr>
              <w:t>₦4.94 trillion</w:t>
            </w:r>
          </w:p>
        </w:tc>
        <w:tc>
          <w:tcPr>
            <w:tcW w:w="1971" w:type="dxa"/>
          </w:tcPr>
          <w:p w:rsidR="0021441A" w:rsidRPr="009E0765" w:rsidRDefault="0021441A" w:rsidP="0021441A">
            <w:pPr>
              <w:spacing w:after="0"/>
              <w:rPr>
                <w:sz w:val="24"/>
                <w:szCs w:val="24"/>
              </w:rPr>
            </w:pPr>
            <w:r w:rsidRPr="009E0765">
              <w:rPr>
                <w:sz w:val="24"/>
                <w:szCs w:val="24"/>
              </w:rPr>
              <w:t>₦5.65 trillion</w:t>
            </w:r>
          </w:p>
        </w:tc>
        <w:tc>
          <w:tcPr>
            <w:tcW w:w="1971" w:type="dxa"/>
          </w:tcPr>
          <w:p w:rsidR="0021441A" w:rsidRPr="009E0765" w:rsidRDefault="0021441A" w:rsidP="0021441A">
            <w:pPr>
              <w:spacing w:after="0"/>
              <w:rPr>
                <w:sz w:val="24"/>
                <w:szCs w:val="24"/>
              </w:rPr>
            </w:pPr>
            <w:r w:rsidRPr="009E0765">
              <w:rPr>
                <w:sz w:val="24"/>
                <w:szCs w:val="24"/>
              </w:rPr>
              <w:t>14%</w:t>
            </w:r>
          </w:p>
        </w:tc>
      </w:tr>
      <w:tr w:rsidR="0021441A" w:rsidRPr="00090EFC" w:rsidTr="0021441A">
        <w:tc>
          <w:tcPr>
            <w:tcW w:w="1970" w:type="dxa"/>
          </w:tcPr>
          <w:p w:rsidR="0021441A" w:rsidRPr="009E0765" w:rsidRDefault="0021441A" w:rsidP="009E0765">
            <w:pPr>
              <w:spacing w:after="0"/>
              <w:jc w:val="left"/>
              <w:rPr>
                <w:sz w:val="24"/>
                <w:szCs w:val="24"/>
              </w:rPr>
            </w:pPr>
            <w:r w:rsidRPr="009E0765">
              <w:rPr>
                <w:sz w:val="24"/>
                <w:szCs w:val="24"/>
              </w:rPr>
              <w:t>Total revenue</w:t>
            </w:r>
          </w:p>
        </w:tc>
        <w:tc>
          <w:tcPr>
            <w:tcW w:w="1971" w:type="dxa"/>
          </w:tcPr>
          <w:p w:rsidR="0021441A" w:rsidRPr="009E0765" w:rsidRDefault="0021441A" w:rsidP="0021441A">
            <w:pPr>
              <w:spacing w:after="0"/>
              <w:rPr>
                <w:sz w:val="24"/>
                <w:szCs w:val="24"/>
              </w:rPr>
            </w:pPr>
            <w:r w:rsidRPr="009E0765">
              <w:rPr>
                <w:sz w:val="24"/>
                <w:szCs w:val="24"/>
              </w:rPr>
              <w:t>₦8.42 trillion</w:t>
            </w:r>
          </w:p>
        </w:tc>
        <w:tc>
          <w:tcPr>
            <w:tcW w:w="1971" w:type="dxa"/>
          </w:tcPr>
          <w:p w:rsidR="0021441A" w:rsidRPr="009E0765" w:rsidRDefault="0021441A" w:rsidP="0021441A">
            <w:pPr>
              <w:spacing w:after="0"/>
              <w:rPr>
                <w:sz w:val="24"/>
                <w:szCs w:val="24"/>
              </w:rPr>
            </w:pPr>
            <w:r w:rsidRPr="009E0765">
              <w:rPr>
                <w:sz w:val="24"/>
                <w:szCs w:val="24"/>
              </w:rPr>
              <w:t>₦5.84 trillion</w:t>
            </w:r>
          </w:p>
        </w:tc>
        <w:tc>
          <w:tcPr>
            <w:tcW w:w="1971" w:type="dxa"/>
          </w:tcPr>
          <w:p w:rsidR="0021441A" w:rsidRPr="009E0765" w:rsidRDefault="0021441A" w:rsidP="00C9638C">
            <w:pPr>
              <w:spacing w:after="0"/>
              <w:rPr>
                <w:sz w:val="24"/>
                <w:szCs w:val="24"/>
              </w:rPr>
            </w:pPr>
            <w:r w:rsidRPr="009E0765">
              <w:rPr>
                <w:sz w:val="24"/>
                <w:szCs w:val="24"/>
              </w:rPr>
              <w:t>₦</w:t>
            </w:r>
            <w:r w:rsidR="00200B55" w:rsidRPr="009E0765">
              <w:rPr>
                <w:sz w:val="24"/>
                <w:szCs w:val="24"/>
              </w:rPr>
              <w:t xml:space="preserve">7.89 </w:t>
            </w:r>
            <w:r w:rsidRPr="009E0765">
              <w:rPr>
                <w:sz w:val="24"/>
                <w:szCs w:val="24"/>
              </w:rPr>
              <w:t>trillion</w:t>
            </w:r>
          </w:p>
        </w:tc>
        <w:tc>
          <w:tcPr>
            <w:tcW w:w="1971" w:type="dxa"/>
          </w:tcPr>
          <w:p w:rsidR="0021441A" w:rsidRPr="009E0765" w:rsidRDefault="00200B55" w:rsidP="0021441A">
            <w:pPr>
              <w:spacing w:after="0"/>
              <w:rPr>
                <w:sz w:val="24"/>
                <w:szCs w:val="24"/>
              </w:rPr>
            </w:pPr>
            <w:r w:rsidRPr="009E0765">
              <w:rPr>
                <w:sz w:val="24"/>
                <w:szCs w:val="24"/>
              </w:rPr>
              <w:t>34.9</w:t>
            </w:r>
            <w:r w:rsidR="0021441A" w:rsidRPr="009E0765">
              <w:rPr>
                <w:sz w:val="24"/>
                <w:szCs w:val="24"/>
              </w:rPr>
              <w:t>%</w:t>
            </w:r>
          </w:p>
        </w:tc>
      </w:tr>
      <w:tr w:rsidR="0021441A" w:rsidRPr="00090EFC" w:rsidTr="0021441A">
        <w:tc>
          <w:tcPr>
            <w:tcW w:w="1970" w:type="dxa"/>
          </w:tcPr>
          <w:p w:rsidR="0021441A" w:rsidRPr="009E0765" w:rsidRDefault="0021441A" w:rsidP="009E0765">
            <w:pPr>
              <w:spacing w:after="0"/>
              <w:jc w:val="left"/>
              <w:rPr>
                <w:sz w:val="24"/>
                <w:szCs w:val="24"/>
              </w:rPr>
            </w:pPr>
            <w:r w:rsidRPr="009E0765">
              <w:rPr>
                <w:sz w:val="24"/>
                <w:szCs w:val="24"/>
              </w:rPr>
              <w:t>Total expenditure</w:t>
            </w:r>
          </w:p>
        </w:tc>
        <w:tc>
          <w:tcPr>
            <w:tcW w:w="1971" w:type="dxa"/>
          </w:tcPr>
          <w:p w:rsidR="0021441A" w:rsidRPr="009E0765" w:rsidRDefault="0021441A" w:rsidP="0021441A">
            <w:pPr>
              <w:spacing w:after="0"/>
              <w:rPr>
                <w:sz w:val="24"/>
                <w:szCs w:val="24"/>
              </w:rPr>
            </w:pPr>
            <w:r w:rsidRPr="009E0765">
              <w:rPr>
                <w:sz w:val="24"/>
                <w:szCs w:val="24"/>
              </w:rPr>
              <w:t>₦10.59 trillion</w:t>
            </w:r>
          </w:p>
        </w:tc>
        <w:tc>
          <w:tcPr>
            <w:tcW w:w="1971" w:type="dxa"/>
          </w:tcPr>
          <w:p w:rsidR="0021441A" w:rsidRPr="009E0765" w:rsidRDefault="0021441A" w:rsidP="0021441A">
            <w:pPr>
              <w:spacing w:after="0"/>
              <w:rPr>
                <w:sz w:val="24"/>
                <w:szCs w:val="24"/>
              </w:rPr>
            </w:pPr>
            <w:r w:rsidRPr="009E0765">
              <w:rPr>
                <w:sz w:val="24"/>
                <w:szCs w:val="24"/>
              </w:rPr>
              <w:t>₦10.81 trillion</w:t>
            </w:r>
          </w:p>
        </w:tc>
        <w:tc>
          <w:tcPr>
            <w:tcW w:w="1971" w:type="dxa"/>
          </w:tcPr>
          <w:p w:rsidR="0021441A" w:rsidRPr="009E0765" w:rsidRDefault="0021441A" w:rsidP="0021441A">
            <w:pPr>
              <w:spacing w:after="0"/>
              <w:rPr>
                <w:sz w:val="24"/>
                <w:szCs w:val="24"/>
              </w:rPr>
            </w:pPr>
            <w:r w:rsidRPr="009E0765">
              <w:rPr>
                <w:sz w:val="24"/>
                <w:szCs w:val="24"/>
              </w:rPr>
              <w:t>₦13.08 trillion</w:t>
            </w:r>
          </w:p>
        </w:tc>
        <w:tc>
          <w:tcPr>
            <w:tcW w:w="1971" w:type="dxa"/>
          </w:tcPr>
          <w:p w:rsidR="0021441A" w:rsidRPr="009E0765" w:rsidRDefault="0021441A" w:rsidP="0021441A">
            <w:pPr>
              <w:spacing w:after="0"/>
              <w:rPr>
                <w:sz w:val="24"/>
                <w:szCs w:val="24"/>
              </w:rPr>
            </w:pPr>
            <w:r w:rsidRPr="009E0765">
              <w:rPr>
                <w:sz w:val="24"/>
                <w:szCs w:val="24"/>
              </w:rPr>
              <w:t>21%</w:t>
            </w:r>
          </w:p>
        </w:tc>
      </w:tr>
      <w:tr w:rsidR="0021441A" w:rsidRPr="00090EFC" w:rsidTr="0021441A">
        <w:tc>
          <w:tcPr>
            <w:tcW w:w="1970" w:type="dxa"/>
          </w:tcPr>
          <w:p w:rsidR="0021441A" w:rsidRPr="009E0765" w:rsidRDefault="0021441A" w:rsidP="0021441A">
            <w:pPr>
              <w:spacing w:after="0"/>
              <w:rPr>
                <w:sz w:val="24"/>
                <w:szCs w:val="24"/>
              </w:rPr>
            </w:pPr>
            <w:r w:rsidRPr="009E0765">
              <w:rPr>
                <w:sz w:val="24"/>
                <w:szCs w:val="24"/>
              </w:rPr>
              <w:t>Fiscal deficit</w:t>
            </w:r>
          </w:p>
        </w:tc>
        <w:tc>
          <w:tcPr>
            <w:tcW w:w="1971" w:type="dxa"/>
          </w:tcPr>
          <w:p w:rsidR="0021441A" w:rsidRPr="009E0765" w:rsidRDefault="0021441A" w:rsidP="0021441A">
            <w:pPr>
              <w:spacing w:after="0"/>
              <w:rPr>
                <w:sz w:val="24"/>
                <w:szCs w:val="24"/>
              </w:rPr>
            </w:pPr>
            <w:r w:rsidRPr="009E0765">
              <w:rPr>
                <w:sz w:val="24"/>
                <w:szCs w:val="24"/>
              </w:rPr>
              <w:t>₦2.17 trillion</w:t>
            </w:r>
          </w:p>
        </w:tc>
        <w:tc>
          <w:tcPr>
            <w:tcW w:w="1971" w:type="dxa"/>
          </w:tcPr>
          <w:p w:rsidR="0021441A" w:rsidRPr="009E0765" w:rsidRDefault="0021441A" w:rsidP="0021441A">
            <w:pPr>
              <w:spacing w:after="0"/>
              <w:rPr>
                <w:sz w:val="24"/>
                <w:szCs w:val="24"/>
              </w:rPr>
            </w:pPr>
            <w:r w:rsidRPr="009E0765">
              <w:rPr>
                <w:sz w:val="24"/>
                <w:szCs w:val="24"/>
              </w:rPr>
              <w:t>₦4.98 trillion</w:t>
            </w:r>
          </w:p>
        </w:tc>
        <w:tc>
          <w:tcPr>
            <w:tcW w:w="1971" w:type="dxa"/>
          </w:tcPr>
          <w:p w:rsidR="0021441A" w:rsidRPr="009E0765" w:rsidRDefault="0021441A" w:rsidP="00C9638C">
            <w:pPr>
              <w:spacing w:after="0"/>
              <w:rPr>
                <w:sz w:val="24"/>
                <w:szCs w:val="24"/>
              </w:rPr>
            </w:pPr>
            <w:r w:rsidRPr="009E0765">
              <w:rPr>
                <w:sz w:val="24"/>
                <w:szCs w:val="24"/>
              </w:rPr>
              <w:t>₦</w:t>
            </w:r>
            <w:r w:rsidR="00AD2CE7" w:rsidRPr="009E0765">
              <w:rPr>
                <w:sz w:val="24"/>
                <w:szCs w:val="24"/>
              </w:rPr>
              <w:t>5.20</w:t>
            </w:r>
            <w:r w:rsidRPr="009E0765">
              <w:rPr>
                <w:sz w:val="24"/>
                <w:szCs w:val="24"/>
              </w:rPr>
              <w:t xml:space="preserve"> trillion</w:t>
            </w:r>
          </w:p>
        </w:tc>
        <w:tc>
          <w:tcPr>
            <w:tcW w:w="1971" w:type="dxa"/>
          </w:tcPr>
          <w:p w:rsidR="0021441A" w:rsidRPr="009E0765" w:rsidRDefault="0021441A">
            <w:pPr>
              <w:spacing w:after="0"/>
              <w:rPr>
                <w:sz w:val="24"/>
                <w:szCs w:val="24"/>
              </w:rPr>
            </w:pPr>
            <w:r w:rsidRPr="009E0765">
              <w:rPr>
                <w:sz w:val="24"/>
                <w:szCs w:val="24"/>
              </w:rPr>
              <w:t>-</w:t>
            </w:r>
            <w:r w:rsidR="00AD2CE7" w:rsidRPr="009E0765">
              <w:rPr>
                <w:sz w:val="24"/>
                <w:szCs w:val="24"/>
              </w:rPr>
              <w:t>4.4</w:t>
            </w:r>
            <w:r w:rsidRPr="009E0765">
              <w:rPr>
                <w:sz w:val="24"/>
                <w:szCs w:val="24"/>
              </w:rPr>
              <w:t>%</w:t>
            </w:r>
          </w:p>
        </w:tc>
      </w:tr>
      <w:tr w:rsidR="008E1F0B" w:rsidRPr="00090EFC" w:rsidTr="0021441A">
        <w:tc>
          <w:tcPr>
            <w:tcW w:w="1970" w:type="dxa"/>
          </w:tcPr>
          <w:p w:rsidR="008E1F0B" w:rsidRPr="009E0765" w:rsidRDefault="008E1F0B" w:rsidP="0021441A">
            <w:pPr>
              <w:spacing w:after="0"/>
              <w:rPr>
                <w:sz w:val="24"/>
                <w:szCs w:val="24"/>
              </w:rPr>
            </w:pPr>
            <w:r w:rsidRPr="009E0765">
              <w:rPr>
                <w:sz w:val="24"/>
                <w:szCs w:val="24"/>
              </w:rPr>
              <w:t>Inflation</w:t>
            </w:r>
          </w:p>
        </w:tc>
        <w:tc>
          <w:tcPr>
            <w:tcW w:w="1971" w:type="dxa"/>
          </w:tcPr>
          <w:p w:rsidR="008E1F0B" w:rsidRPr="009E0765" w:rsidRDefault="009F6214" w:rsidP="0021441A">
            <w:pPr>
              <w:spacing w:after="0"/>
              <w:rPr>
                <w:sz w:val="24"/>
                <w:szCs w:val="24"/>
              </w:rPr>
            </w:pPr>
            <w:r w:rsidRPr="009E0765">
              <w:rPr>
                <w:sz w:val="24"/>
                <w:szCs w:val="24"/>
              </w:rPr>
              <w:t>11.02%</w:t>
            </w:r>
          </w:p>
        </w:tc>
        <w:tc>
          <w:tcPr>
            <w:tcW w:w="1971" w:type="dxa"/>
          </w:tcPr>
          <w:p w:rsidR="008E1F0B" w:rsidRPr="009E0765" w:rsidRDefault="009F6214" w:rsidP="0021441A">
            <w:pPr>
              <w:spacing w:after="0"/>
              <w:rPr>
                <w:sz w:val="24"/>
                <w:szCs w:val="24"/>
              </w:rPr>
            </w:pPr>
            <w:r w:rsidRPr="009E0765">
              <w:rPr>
                <w:sz w:val="24"/>
                <w:szCs w:val="24"/>
              </w:rPr>
              <w:t>10.81%</w:t>
            </w:r>
          </w:p>
        </w:tc>
        <w:tc>
          <w:tcPr>
            <w:tcW w:w="1971" w:type="dxa"/>
          </w:tcPr>
          <w:p w:rsidR="008E1F0B" w:rsidRPr="009E0765" w:rsidRDefault="009F6214" w:rsidP="0021441A">
            <w:pPr>
              <w:spacing w:after="0"/>
              <w:rPr>
                <w:sz w:val="24"/>
                <w:szCs w:val="24"/>
              </w:rPr>
            </w:pPr>
            <w:r w:rsidRPr="009E0765">
              <w:rPr>
                <w:sz w:val="24"/>
                <w:szCs w:val="24"/>
              </w:rPr>
              <w:t>11.95%</w:t>
            </w:r>
          </w:p>
        </w:tc>
        <w:tc>
          <w:tcPr>
            <w:tcW w:w="1971" w:type="dxa"/>
          </w:tcPr>
          <w:p w:rsidR="008E1F0B" w:rsidRPr="009E0765" w:rsidRDefault="008E1F0B" w:rsidP="0021441A">
            <w:pPr>
              <w:spacing w:after="0"/>
              <w:rPr>
                <w:sz w:val="24"/>
                <w:szCs w:val="24"/>
              </w:rPr>
            </w:pPr>
          </w:p>
        </w:tc>
      </w:tr>
    </w:tbl>
    <w:p w:rsidR="00AB1852" w:rsidRDefault="00AB1852" w:rsidP="0085707C">
      <w:pPr>
        <w:spacing w:after="0"/>
        <w:rPr>
          <w:sz w:val="24"/>
          <w:szCs w:val="24"/>
          <w:lang w:val="en-GB"/>
        </w:rPr>
      </w:pPr>
    </w:p>
    <w:p w:rsidR="000637ED" w:rsidRPr="009E0765" w:rsidRDefault="000637ED" w:rsidP="0085707C">
      <w:pPr>
        <w:spacing w:after="0"/>
        <w:rPr>
          <w:sz w:val="24"/>
          <w:szCs w:val="24"/>
          <w:lang w:val="en-GB"/>
        </w:rPr>
      </w:pPr>
      <w:r w:rsidRPr="009E0765">
        <w:rPr>
          <w:sz w:val="24"/>
          <w:szCs w:val="24"/>
          <w:lang w:val="en-GB"/>
        </w:rPr>
        <w:t xml:space="preserve">The proposed 2021 budget </w:t>
      </w:r>
      <w:r>
        <w:rPr>
          <w:sz w:val="24"/>
          <w:szCs w:val="24"/>
          <w:lang w:val="en-GB"/>
        </w:rPr>
        <w:t>contains</w:t>
      </w:r>
      <w:r w:rsidRPr="009E0765">
        <w:rPr>
          <w:sz w:val="24"/>
          <w:szCs w:val="24"/>
          <w:lang w:val="en-GB"/>
        </w:rPr>
        <w:t xml:space="preserve"> </w:t>
      </w:r>
      <w:r w:rsidRPr="009E0765">
        <w:rPr>
          <w:b/>
          <w:sz w:val="24"/>
          <w:szCs w:val="24"/>
          <w:lang w:val="en-GB"/>
        </w:rPr>
        <w:t>a deficit of N5.2tn (about €11.5billion)</w:t>
      </w:r>
      <w:r w:rsidRPr="009E0765">
        <w:rPr>
          <w:sz w:val="24"/>
          <w:szCs w:val="24"/>
          <w:lang w:val="en-GB"/>
        </w:rPr>
        <w:t xml:space="preserve"> representing 3.64% of estimated GDP. The bulk of the deficit will be financed through borrowing (accounting for 82% of proposed financing), proceeds of privatization (and draw</w:t>
      </w:r>
      <w:r w:rsidR="00F84D83">
        <w:rPr>
          <w:sz w:val="24"/>
          <w:szCs w:val="24"/>
          <w:lang w:val="en-GB"/>
        </w:rPr>
        <w:t>-</w:t>
      </w:r>
      <w:r w:rsidRPr="009E0765">
        <w:rPr>
          <w:sz w:val="24"/>
          <w:szCs w:val="24"/>
          <w:lang w:val="en-GB"/>
        </w:rPr>
        <w:t xml:space="preserve">downs on </w:t>
      </w:r>
      <w:r w:rsidRPr="009E0765">
        <w:rPr>
          <w:sz w:val="24"/>
          <w:szCs w:val="24"/>
          <w:lang w:val="en-GB"/>
        </w:rPr>
        <w:lastRenderedPageBreak/>
        <w:t xml:space="preserve">approved multilateral and bilateral loans. The deficit slightly exceeds the 3% of GDP proposed under the Fiscal Responsibility Act 2007. According to the Budget Office of the Federation, 82.5% of revenues for </w:t>
      </w:r>
      <w:r w:rsidR="00F84D83">
        <w:rPr>
          <w:sz w:val="24"/>
          <w:szCs w:val="24"/>
          <w:lang w:val="en-GB"/>
        </w:rPr>
        <w:t xml:space="preserve">the first </w:t>
      </w:r>
      <w:r w:rsidRPr="009E0765">
        <w:rPr>
          <w:sz w:val="24"/>
          <w:szCs w:val="24"/>
          <w:lang w:val="en-GB"/>
        </w:rPr>
        <w:t xml:space="preserve">half year, 2020 went into debt service. With N4.3tn in new foreign and domestic borrowing (33% of the 2021 budget) debt service could be challenging if revenues do not improve significantly. </w:t>
      </w:r>
    </w:p>
    <w:p w:rsidR="000637ED" w:rsidRPr="009E0765" w:rsidRDefault="000637ED" w:rsidP="0085707C">
      <w:pPr>
        <w:spacing w:after="0"/>
        <w:rPr>
          <w:sz w:val="24"/>
          <w:szCs w:val="24"/>
          <w:lang w:val="en-GB"/>
        </w:rPr>
      </w:pPr>
    </w:p>
    <w:p w:rsidR="000637ED" w:rsidRPr="00ED584A" w:rsidRDefault="000637ED" w:rsidP="00ED584A">
      <w:pPr>
        <w:rPr>
          <w:sz w:val="24"/>
          <w:szCs w:val="24"/>
          <w:lang w:val="en-GB"/>
        </w:rPr>
      </w:pPr>
      <w:r w:rsidRPr="00ED584A">
        <w:rPr>
          <w:sz w:val="24"/>
          <w:szCs w:val="24"/>
          <w:lang w:val="en-GB"/>
        </w:rPr>
        <w:t xml:space="preserve">Total Federal Government </w:t>
      </w:r>
      <w:r w:rsidRPr="00ED584A">
        <w:rPr>
          <w:b/>
          <w:sz w:val="24"/>
          <w:szCs w:val="24"/>
          <w:lang w:val="en-GB"/>
        </w:rPr>
        <w:t>revenue estimated at N7.88tn (about €17.4billion)</w:t>
      </w:r>
      <w:r w:rsidRPr="00ED584A">
        <w:rPr>
          <w:sz w:val="24"/>
          <w:szCs w:val="24"/>
          <w:lang w:val="en-GB"/>
        </w:rPr>
        <w:t xml:space="preserve"> is made up of </w:t>
      </w:r>
      <w:r w:rsidR="003539B9">
        <w:rPr>
          <w:sz w:val="24"/>
          <w:szCs w:val="24"/>
          <w:lang w:val="en-GB"/>
        </w:rPr>
        <w:t xml:space="preserve">the </w:t>
      </w:r>
      <w:r w:rsidRPr="00ED584A">
        <w:rPr>
          <w:sz w:val="24"/>
          <w:szCs w:val="24"/>
          <w:lang w:val="en-GB"/>
        </w:rPr>
        <w:t xml:space="preserve">Federal Government’s share of Federation Account revenues (44.4%), independent revenues (12.2%), aid and grants (4.5%), special funds/account receipts (3.8%), Government owned enterprises (net of operating surpluses) (17.1%) and others (18%). </w:t>
      </w:r>
      <w:r w:rsidR="00C60386">
        <w:rPr>
          <w:sz w:val="24"/>
          <w:szCs w:val="24"/>
          <w:lang w:val="en-GB"/>
        </w:rPr>
        <w:t xml:space="preserve">It is noteworthy that </w:t>
      </w:r>
      <w:r w:rsidR="00F473E3">
        <w:rPr>
          <w:sz w:val="24"/>
          <w:szCs w:val="24"/>
          <w:lang w:val="en-GB"/>
        </w:rPr>
        <w:t xml:space="preserve">the </w:t>
      </w:r>
      <w:r w:rsidR="00C60386">
        <w:rPr>
          <w:sz w:val="24"/>
          <w:szCs w:val="24"/>
          <w:lang w:val="en-GB"/>
        </w:rPr>
        <w:t>Federal Government receives 52.68% of Federation account revenues and 15% of VAT</w:t>
      </w:r>
      <w:r w:rsidR="00024075">
        <w:rPr>
          <w:sz w:val="24"/>
          <w:szCs w:val="24"/>
          <w:lang w:val="en-GB"/>
        </w:rPr>
        <w:t>,</w:t>
      </w:r>
      <w:r w:rsidR="00C60386">
        <w:rPr>
          <w:sz w:val="24"/>
          <w:szCs w:val="24"/>
          <w:lang w:val="en-GB"/>
        </w:rPr>
        <w:t xml:space="preserve"> while States and Local Governments </w:t>
      </w:r>
      <w:r w:rsidR="004A6338">
        <w:rPr>
          <w:sz w:val="24"/>
          <w:szCs w:val="24"/>
          <w:lang w:val="en-GB"/>
        </w:rPr>
        <w:t>share</w:t>
      </w:r>
      <w:r w:rsidR="00C60386">
        <w:rPr>
          <w:sz w:val="24"/>
          <w:szCs w:val="24"/>
          <w:lang w:val="en-GB"/>
        </w:rPr>
        <w:t xml:space="preserve"> 26.72% </w:t>
      </w:r>
      <w:r w:rsidR="004A6338">
        <w:rPr>
          <w:sz w:val="24"/>
          <w:szCs w:val="24"/>
          <w:lang w:val="en-GB"/>
        </w:rPr>
        <w:t xml:space="preserve">and 20.60% respectively </w:t>
      </w:r>
      <w:r w:rsidR="00C60386">
        <w:rPr>
          <w:sz w:val="24"/>
          <w:szCs w:val="24"/>
          <w:lang w:val="en-GB"/>
        </w:rPr>
        <w:t xml:space="preserve">of Federation Account revenues and 85% of VAT. </w:t>
      </w:r>
      <w:r w:rsidRPr="00ED584A">
        <w:rPr>
          <w:sz w:val="24"/>
          <w:szCs w:val="24"/>
          <w:lang w:val="en-GB"/>
        </w:rPr>
        <w:t xml:space="preserve">A detailed breakdown of </w:t>
      </w:r>
      <w:r w:rsidR="004A6338">
        <w:rPr>
          <w:sz w:val="24"/>
          <w:szCs w:val="24"/>
          <w:lang w:val="en-GB"/>
        </w:rPr>
        <w:t xml:space="preserve">all </w:t>
      </w:r>
      <w:r w:rsidRPr="00ED584A">
        <w:rPr>
          <w:sz w:val="24"/>
          <w:szCs w:val="24"/>
          <w:lang w:val="en-GB"/>
        </w:rPr>
        <w:t xml:space="preserve">revenue sources and the details of the 2021 Finance Bill is expected to be released by the Minister of Finance, Budget and National Planning in due course. However, President Buhari disclosed in his budget speech that oil and non-oil revenues </w:t>
      </w:r>
      <w:r w:rsidR="004A6338">
        <w:rPr>
          <w:sz w:val="24"/>
          <w:szCs w:val="24"/>
          <w:lang w:val="en-GB"/>
        </w:rPr>
        <w:t xml:space="preserve">due to the Federal Government </w:t>
      </w:r>
      <w:r w:rsidRPr="00ED584A">
        <w:rPr>
          <w:sz w:val="24"/>
          <w:szCs w:val="24"/>
          <w:lang w:val="en-GB"/>
        </w:rPr>
        <w:t xml:space="preserve">account for 25.4% and 18.9% of total revenues respectively. </w:t>
      </w:r>
    </w:p>
    <w:p w:rsidR="000637ED" w:rsidRPr="00ED584A" w:rsidRDefault="000637ED" w:rsidP="00ED584A">
      <w:pPr>
        <w:rPr>
          <w:sz w:val="24"/>
          <w:szCs w:val="24"/>
          <w:lang w:val="en-GB"/>
        </w:rPr>
      </w:pPr>
      <w:r w:rsidRPr="00ED584A">
        <w:rPr>
          <w:sz w:val="24"/>
          <w:szCs w:val="24"/>
          <w:lang w:val="en-GB"/>
        </w:rPr>
        <w:t xml:space="preserve">The proposed budget envisages an </w:t>
      </w:r>
      <w:r w:rsidRPr="00ED584A">
        <w:rPr>
          <w:b/>
          <w:sz w:val="24"/>
          <w:szCs w:val="24"/>
          <w:lang w:val="en-GB"/>
        </w:rPr>
        <w:t>aggregate expenditure of N13.08tn (about €28.9 billion),</w:t>
      </w:r>
      <w:r w:rsidRPr="00ED584A">
        <w:rPr>
          <w:sz w:val="24"/>
          <w:szCs w:val="24"/>
          <w:lang w:val="en-GB"/>
        </w:rPr>
        <w:t xml:space="preserve"> which can be estimated at around 9.2% of GDP</w:t>
      </w:r>
      <w:r w:rsidR="00DB77AC">
        <w:rPr>
          <w:sz w:val="24"/>
          <w:szCs w:val="24"/>
          <w:lang w:val="en-GB"/>
        </w:rPr>
        <w:t>, very low, reflecting a very narrow tax base</w:t>
      </w:r>
      <w:r w:rsidRPr="00ED584A">
        <w:rPr>
          <w:sz w:val="24"/>
          <w:szCs w:val="24"/>
          <w:lang w:val="en-GB"/>
        </w:rPr>
        <w:t>. The total budget is 21% higher than the N10.8tn revised 2020 budget</w:t>
      </w:r>
      <w:r w:rsidR="007A0E6D">
        <w:rPr>
          <w:sz w:val="24"/>
          <w:szCs w:val="24"/>
          <w:lang w:val="en-GB"/>
        </w:rPr>
        <w:t>.</w:t>
      </w:r>
      <w:r w:rsidR="00CA4956">
        <w:rPr>
          <w:sz w:val="24"/>
          <w:szCs w:val="24"/>
          <w:lang w:val="en-GB"/>
        </w:rPr>
        <w:t xml:space="preserve"> </w:t>
      </w:r>
      <w:r w:rsidRPr="00ED584A">
        <w:rPr>
          <w:sz w:val="24"/>
          <w:szCs w:val="24"/>
          <w:lang w:val="en-GB"/>
        </w:rPr>
        <w:t>The breakdown of the 2021 budget shows that recurrent expenditure has the largest share with N5.65tn (43.2% of total budget) followed by debt service</w:t>
      </w:r>
      <w:r w:rsidR="00DB77AC">
        <w:rPr>
          <w:sz w:val="24"/>
          <w:szCs w:val="24"/>
          <w:lang w:val="en-GB"/>
        </w:rPr>
        <w:t>:</w:t>
      </w:r>
      <w:r w:rsidRPr="00ED584A">
        <w:rPr>
          <w:sz w:val="24"/>
          <w:szCs w:val="24"/>
          <w:lang w:val="en-GB"/>
        </w:rPr>
        <w:t xml:space="preserve"> N3.34tn (25.6% of total budget), Capital budget</w:t>
      </w:r>
      <w:r w:rsidR="00DB77AC">
        <w:rPr>
          <w:sz w:val="24"/>
          <w:szCs w:val="24"/>
          <w:lang w:val="en-GB"/>
        </w:rPr>
        <w:t>:</w:t>
      </w:r>
      <w:r w:rsidRPr="00ED584A">
        <w:rPr>
          <w:sz w:val="24"/>
          <w:szCs w:val="24"/>
          <w:lang w:val="en-GB"/>
        </w:rPr>
        <w:t xml:space="preserve"> N3.60tn</w:t>
      </w:r>
      <w:r w:rsidRPr="009E0765">
        <w:rPr>
          <w:rStyle w:val="FootnoteReference"/>
          <w:sz w:val="24"/>
          <w:szCs w:val="24"/>
          <w:lang w:val="en-GB"/>
        </w:rPr>
        <w:footnoteReference w:id="2"/>
      </w:r>
      <w:r w:rsidRPr="00ED584A">
        <w:rPr>
          <w:sz w:val="24"/>
          <w:szCs w:val="24"/>
          <w:lang w:val="en-GB"/>
        </w:rPr>
        <w:t xml:space="preserve"> (27.5% of total budget) and Statutory Transfers</w:t>
      </w:r>
      <w:r w:rsidR="0083298D">
        <w:rPr>
          <w:sz w:val="24"/>
          <w:szCs w:val="24"/>
          <w:lang w:val="en-GB"/>
        </w:rPr>
        <w:t>:</w:t>
      </w:r>
      <w:r w:rsidRPr="00ED584A">
        <w:rPr>
          <w:sz w:val="24"/>
          <w:szCs w:val="24"/>
          <w:lang w:val="en-GB"/>
        </w:rPr>
        <w:t xml:space="preserve"> N484bn (3.7% of total budget). Personnel costs remain the largest single expenditure item and is projected to gulp 33% of the 2021 budget. Though President Buhari has given approval for the implementation of the report on Restructuring and Rationalization of Federal Government Parastatals, Commissions and Agencies to cut cost, overheads in the 2021 budget are projected to increase by N626bn </w:t>
      </w:r>
      <w:r w:rsidR="0083298D">
        <w:rPr>
          <w:sz w:val="24"/>
          <w:szCs w:val="24"/>
          <w:lang w:val="en-GB"/>
        </w:rPr>
        <w:t>(€</w:t>
      </w:r>
      <w:r w:rsidR="00CA4956">
        <w:rPr>
          <w:sz w:val="24"/>
          <w:szCs w:val="24"/>
          <w:lang w:val="en-GB"/>
        </w:rPr>
        <w:t>1.3bn</w:t>
      </w:r>
      <w:r w:rsidR="0083298D">
        <w:rPr>
          <w:sz w:val="24"/>
          <w:szCs w:val="24"/>
          <w:lang w:val="en-GB"/>
        </w:rPr>
        <w:t xml:space="preserve">) </w:t>
      </w:r>
      <w:r w:rsidRPr="00ED584A">
        <w:rPr>
          <w:sz w:val="24"/>
          <w:szCs w:val="24"/>
          <w:lang w:val="en-GB"/>
        </w:rPr>
        <w:t>due to inclusion of the overheads of 50 additional Government owned enterprises and newly created agencies.</w:t>
      </w:r>
    </w:p>
    <w:p w:rsidR="00F24D34" w:rsidRDefault="000637ED" w:rsidP="00F24D34">
      <w:pPr>
        <w:rPr>
          <w:sz w:val="24"/>
          <w:szCs w:val="24"/>
          <w:lang w:val="en-GB"/>
        </w:rPr>
      </w:pPr>
      <w:r w:rsidRPr="00ED584A">
        <w:rPr>
          <w:b/>
          <w:sz w:val="24"/>
          <w:szCs w:val="24"/>
          <w:lang w:val="en-GB"/>
        </w:rPr>
        <w:t>The capital budget is 43% higher than the revised 2020 budget and will focus on completing ongoing projects.</w:t>
      </w:r>
      <w:r w:rsidRPr="00ED584A">
        <w:rPr>
          <w:sz w:val="24"/>
          <w:szCs w:val="24"/>
          <w:lang w:val="en-GB"/>
        </w:rPr>
        <w:t xml:space="preserve"> Key sectors include works and housing (10.5%), transportation (mainly railways) (6.6%), power (5.1%) water resources (4.0%), health (3.4%), education (3.1%) and defence (3.1%) amongst others. The allocation to the health sector capital budget was increased by 157% to build and equip new facilities nationwide in response to the dilapidated facilities as exposed during the Covid-19 crisis. Education</w:t>
      </w:r>
      <w:r w:rsidR="00AE3C17">
        <w:rPr>
          <w:sz w:val="24"/>
          <w:szCs w:val="24"/>
          <w:lang w:val="en-GB"/>
        </w:rPr>
        <w:t>,</w:t>
      </w:r>
      <w:r w:rsidRPr="00ED584A">
        <w:rPr>
          <w:sz w:val="24"/>
          <w:szCs w:val="24"/>
          <w:lang w:val="en-GB"/>
        </w:rPr>
        <w:t xml:space="preserve"> </w:t>
      </w:r>
      <w:r w:rsidR="007F54D3">
        <w:rPr>
          <w:sz w:val="24"/>
          <w:szCs w:val="24"/>
          <w:lang w:val="en-GB"/>
        </w:rPr>
        <w:t>which</w:t>
      </w:r>
      <w:r w:rsidR="00AE3C17">
        <w:rPr>
          <w:sz w:val="24"/>
          <w:szCs w:val="24"/>
          <w:lang w:val="en-GB"/>
        </w:rPr>
        <w:t xml:space="preserve"> </w:t>
      </w:r>
      <w:r w:rsidR="007F54D3">
        <w:rPr>
          <w:sz w:val="24"/>
          <w:szCs w:val="24"/>
          <w:lang w:val="en-GB"/>
        </w:rPr>
        <w:t>usually</w:t>
      </w:r>
      <w:r w:rsidR="00AE3C17">
        <w:rPr>
          <w:sz w:val="24"/>
          <w:szCs w:val="24"/>
          <w:lang w:val="en-GB"/>
        </w:rPr>
        <w:t xml:space="preserve"> accounts for a large portion of the budget, </w:t>
      </w:r>
      <w:r w:rsidRPr="00ED584A">
        <w:rPr>
          <w:sz w:val="24"/>
          <w:szCs w:val="24"/>
          <w:lang w:val="en-GB"/>
        </w:rPr>
        <w:t xml:space="preserve">was </w:t>
      </w:r>
      <w:r w:rsidR="00AE3C17">
        <w:rPr>
          <w:sz w:val="24"/>
          <w:szCs w:val="24"/>
          <w:lang w:val="en-GB"/>
        </w:rPr>
        <w:t xml:space="preserve">further </w:t>
      </w:r>
      <w:r w:rsidRPr="00ED584A">
        <w:rPr>
          <w:sz w:val="24"/>
          <w:szCs w:val="24"/>
          <w:lang w:val="en-GB"/>
        </w:rPr>
        <w:t xml:space="preserve">increased by 65%. Ongoing Chinese-funded and built railway projects were also allocated a huge share of capital allocation to meet counterpart funding obligations. </w:t>
      </w:r>
      <w:r w:rsidR="00F24D34" w:rsidRPr="00ED584A">
        <w:rPr>
          <w:rFonts w:eastAsia="Calibri"/>
          <w:sz w:val="24"/>
          <w:szCs w:val="24"/>
          <w:lang w:val="en-GB"/>
        </w:rPr>
        <w:t xml:space="preserve">The </w:t>
      </w:r>
      <w:r w:rsidR="00F24D34" w:rsidRPr="00ED584A">
        <w:rPr>
          <w:rFonts w:eastAsia="Calibri"/>
          <w:b/>
          <w:sz w:val="24"/>
          <w:szCs w:val="24"/>
          <w:lang w:val="en-GB"/>
        </w:rPr>
        <w:t>security budget</w:t>
      </w:r>
      <w:r w:rsidR="00F24D34" w:rsidRPr="00ED584A">
        <w:rPr>
          <w:rFonts w:eastAsia="Calibri"/>
          <w:sz w:val="24"/>
          <w:szCs w:val="24"/>
          <w:lang w:val="en-GB"/>
        </w:rPr>
        <w:t xml:space="preserve"> is estimated to be around 15.9% of the total budget, while social sector spending stands at 9.6%. </w:t>
      </w:r>
    </w:p>
    <w:p w:rsidR="00B20B71" w:rsidRPr="009E0765" w:rsidRDefault="00F24D34" w:rsidP="00ED584A">
      <w:pPr>
        <w:rPr>
          <w:sz w:val="24"/>
          <w:szCs w:val="24"/>
          <w:lang w:val="en-GB"/>
        </w:rPr>
      </w:pPr>
      <w:r w:rsidRPr="00ED584A">
        <w:rPr>
          <w:sz w:val="24"/>
          <w:szCs w:val="24"/>
          <w:lang w:val="en-GB"/>
        </w:rPr>
        <w:t xml:space="preserve">The Buhari administration has demonstrated strong political will in cutting wasteful spending </w:t>
      </w:r>
      <w:r w:rsidR="0083298D">
        <w:rPr>
          <w:sz w:val="24"/>
          <w:szCs w:val="24"/>
          <w:lang w:val="en-GB"/>
        </w:rPr>
        <w:t xml:space="preserve">it can no longer afford </w:t>
      </w:r>
      <w:r w:rsidRPr="00ED584A">
        <w:rPr>
          <w:sz w:val="24"/>
          <w:szCs w:val="24"/>
          <w:lang w:val="en-GB"/>
        </w:rPr>
        <w:t xml:space="preserve">through the removal of the petrol subsidy, moving to </w:t>
      </w:r>
      <w:r w:rsidR="00A90B15">
        <w:rPr>
          <w:sz w:val="24"/>
          <w:szCs w:val="24"/>
          <w:lang w:val="en-GB"/>
        </w:rPr>
        <w:t xml:space="preserve">service-based tariffs in the </w:t>
      </w:r>
      <w:r w:rsidRPr="00ED584A">
        <w:rPr>
          <w:sz w:val="24"/>
          <w:szCs w:val="24"/>
          <w:lang w:val="en-GB"/>
        </w:rPr>
        <w:t xml:space="preserve">electricity </w:t>
      </w:r>
      <w:r w:rsidR="00A90B15">
        <w:rPr>
          <w:sz w:val="24"/>
          <w:szCs w:val="24"/>
          <w:lang w:val="en-GB"/>
        </w:rPr>
        <w:t>sector</w:t>
      </w:r>
      <w:r w:rsidRPr="00ED584A">
        <w:rPr>
          <w:sz w:val="24"/>
          <w:szCs w:val="24"/>
          <w:lang w:val="en-GB"/>
        </w:rPr>
        <w:t xml:space="preserve"> and transmission of the much awaited Petroleum Industry Bill (PIB) to the National Assembly for consideration.</w:t>
      </w:r>
    </w:p>
    <w:p w:rsidR="002922F3" w:rsidRPr="00ED584A" w:rsidRDefault="00993762" w:rsidP="00ED584A">
      <w:pPr>
        <w:spacing w:after="0"/>
        <w:rPr>
          <w:sz w:val="24"/>
          <w:szCs w:val="24"/>
          <w:lang w:val="en-GB"/>
        </w:rPr>
      </w:pPr>
      <w:r w:rsidRPr="00ED584A">
        <w:rPr>
          <w:sz w:val="24"/>
          <w:szCs w:val="24"/>
          <w:lang w:val="en-GB"/>
        </w:rPr>
        <w:t xml:space="preserve">The 2021 budget proposals </w:t>
      </w:r>
      <w:r w:rsidR="00620354" w:rsidRPr="00ED584A">
        <w:rPr>
          <w:sz w:val="24"/>
          <w:szCs w:val="24"/>
          <w:lang w:val="en-GB"/>
        </w:rPr>
        <w:t xml:space="preserve">reflects </w:t>
      </w:r>
      <w:r w:rsidR="005752AA" w:rsidRPr="00ED584A">
        <w:rPr>
          <w:b/>
          <w:bCs/>
          <w:sz w:val="24"/>
          <w:szCs w:val="24"/>
          <w:lang w:val="en-GB"/>
        </w:rPr>
        <w:t>Nigeria</w:t>
      </w:r>
      <w:r w:rsidR="00620354" w:rsidRPr="00ED584A">
        <w:rPr>
          <w:b/>
          <w:bCs/>
          <w:sz w:val="24"/>
          <w:szCs w:val="24"/>
          <w:lang w:val="en-GB"/>
        </w:rPr>
        <w:t>’s</w:t>
      </w:r>
      <w:r w:rsidR="005752AA" w:rsidRPr="00ED584A">
        <w:rPr>
          <w:b/>
          <w:bCs/>
          <w:sz w:val="24"/>
          <w:szCs w:val="24"/>
          <w:lang w:val="en-GB"/>
        </w:rPr>
        <w:t xml:space="preserve"> </w:t>
      </w:r>
      <w:r w:rsidR="00FB5AA9" w:rsidRPr="00ED584A">
        <w:rPr>
          <w:b/>
          <w:bCs/>
          <w:sz w:val="24"/>
          <w:szCs w:val="24"/>
          <w:lang w:val="en-GB"/>
        </w:rPr>
        <w:t xml:space="preserve">obligations under the </w:t>
      </w:r>
      <w:r w:rsidR="005752AA" w:rsidRPr="00ED584A">
        <w:rPr>
          <w:b/>
          <w:bCs/>
          <w:sz w:val="24"/>
          <w:szCs w:val="24"/>
          <w:lang w:val="en-GB"/>
        </w:rPr>
        <w:t xml:space="preserve">OPEC production </w:t>
      </w:r>
      <w:r w:rsidR="00FB5AA9" w:rsidRPr="00ED584A">
        <w:rPr>
          <w:b/>
          <w:bCs/>
          <w:sz w:val="24"/>
          <w:szCs w:val="24"/>
          <w:lang w:val="en-GB"/>
        </w:rPr>
        <w:t xml:space="preserve">cuts. </w:t>
      </w:r>
      <w:r w:rsidR="00FB5AA9" w:rsidRPr="00ED584A">
        <w:rPr>
          <w:sz w:val="24"/>
          <w:szCs w:val="24"/>
          <w:lang w:val="en-GB"/>
        </w:rPr>
        <w:t xml:space="preserve">With its </w:t>
      </w:r>
      <w:r w:rsidR="005752AA" w:rsidRPr="00ED584A">
        <w:rPr>
          <w:sz w:val="24"/>
          <w:szCs w:val="24"/>
          <w:lang w:val="en-GB"/>
        </w:rPr>
        <w:t>quota of 1.4mbpd</w:t>
      </w:r>
      <w:r w:rsidR="00FB5AA9" w:rsidRPr="00ED584A">
        <w:rPr>
          <w:sz w:val="24"/>
          <w:szCs w:val="24"/>
          <w:lang w:val="en-GB"/>
        </w:rPr>
        <w:t xml:space="preserve">, </w:t>
      </w:r>
      <w:r w:rsidR="005752AA" w:rsidRPr="00ED584A">
        <w:rPr>
          <w:sz w:val="24"/>
          <w:szCs w:val="24"/>
          <w:lang w:val="en-GB"/>
        </w:rPr>
        <w:t xml:space="preserve">it will rely on condensates of between 300,000 and 400,000bpd to meet its budget </w:t>
      </w:r>
      <w:r w:rsidR="00FB5AA9" w:rsidRPr="00ED584A">
        <w:rPr>
          <w:sz w:val="24"/>
          <w:szCs w:val="24"/>
          <w:lang w:val="en-GB"/>
        </w:rPr>
        <w:t>projections</w:t>
      </w:r>
      <w:r w:rsidR="00297DFF" w:rsidRPr="00ED584A">
        <w:rPr>
          <w:sz w:val="24"/>
          <w:szCs w:val="24"/>
          <w:lang w:val="en-GB"/>
        </w:rPr>
        <w:t xml:space="preserve"> (condensates are not included in OPEC quotas)</w:t>
      </w:r>
      <w:r w:rsidR="005752AA" w:rsidRPr="00ED584A">
        <w:rPr>
          <w:sz w:val="24"/>
          <w:szCs w:val="24"/>
          <w:lang w:val="en-GB"/>
        </w:rPr>
        <w:t xml:space="preserve">. </w:t>
      </w:r>
      <w:r w:rsidR="00297DFF" w:rsidRPr="00ED584A">
        <w:rPr>
          <w:sz w:val="24"/>
          <w:szCs w:val="24"/>
          <w:lang w:val="en-GB"/>
        </w:rPr>
        <w:lastRenderedPageBreak/>
        <w:t>I</w:t>
      </w:r>
      <w:r w:rsidR="005752AA" w:rsidRPr="00ED584A">
        <w:rPr>
          <w:sz w:val="24"/>
          <w:szCs w:val="24"/>
          <w:lang w:val="en-GB"/>
        </w:rPr>
        <w:t xml:space="preserve">f the trend of 1.8mbpd recorded in June </w:t>
      </w:r>
      <w:r w:rsidR="00297DFF" w:rsidRPr="00ED584A">
        <w:rPr>
          <w:sz w:val="24"/>
          <w:szCs w:val="24"/>
          <w:lang w:val="en-GB"/>
        </w:rPr>
        <w:t xml:space="preserve">2020 </w:t>
      </w:r>
      <w:r w:rsidR="005752AA" w:rsidRPr="00ED584A">
        <w:rPr>
          <w:sz w:val="24"/>
          <w:szCs w:val="24"/>
          <w:lang w:val="en-GB"/>
        </w:rPr>
        <w:t>is sustained</w:t>
      </w:r>
      <w:r w:rsidR="00FB5AA9" w:rsidRPr="00ED584A">
        <w:rPr>
          <w:sz w:val="24"/>
          <w:szCs w:val="24"/>
          <w:lang w:val="en-GB"/>
        </w:rPr>
        <w:t xml:space="preserve">, and </w:t>
      </w:r>
      <w:r w:rsidR="00297DFF" w:rsidRPr="00ED584A">
        <w:rPr>
          <w:sz w:val="24"/>
          <w:szCs w:val="24"/>
          <w:lang w:val="en-GB"/>
        </w:rPr>
        <w:t xml:space="preserve">global economies do not return to lockdown as winter approaches, </w:t>
      </w:r>
      <w:r w:rsidR="00FB5AA9" w:rsidRPr="00ED584A">
        <w:rPr>
          <w:sz w:val="24"/>
          <w:szCs w:val="24"/>
          <w:lang w:val="en-GB"/>
        </w:rPr>
        <w:t xml:space="preserve">then the country </w:t>
      </w:r>
      <w:r w:rsidR="0083298D">
        <w:rPr>
          <w:sz w:val="24"/>
          <w:szCs w:val="24"/>
          <w:lang w:val="en-GB"/>
        </w:rPr>
        <w:t xml:space="preserve">could </w:t>
      </w:r>
      <w:r w:rsidR="00297DFF" w:rsidRPr="00ED584A">
        <w:rPr>
          <w:sz w:val="24"/>
          <w:szCs w:val="24"/>
          <w:lang w:val="en-GB"/>
        </w:rPr>
        <w:t>meet its targets</w:t>
      </w:r>
      <w:r w:rsidR="005752AA" w:rsidRPr="00ED584A">
        <w:rPr>
          <w:sz w:val="24"/>
          <w:szCs w:val="24"/>
          <w:lang w:val="en-GB"/>
        </w:rPr>
        <w:t xml:space="preserve">. </w:t>
      </w:r>
      <w:r w:rsidR="00297DFF" w:rsidRPr="00ED584A">
        <w:rPr>
          <w:sz w:val="24"/>
          <w:szCs w:val="24"/>
          <w:lang w:val="en-GB"/>
        </w:rPr>
        <w:t xml:space="preserve">The outlook for oil prices in 2021 remain above $40 per barrel which is </w:t>
      </w:r>
      <w:r w:rsidR="002922F3" w:rsidRPr="00ED584A">
        <w:rPr>
          <w:sz w:val="24"/>
          <w:szCs w:val="24"/>
          <w:lang w:val="en-GB"/>
        </w:rPr>
        <w:t xml:space="preserve">also </w:t>
      </w:r>
      <w:r w:rsidR="00297DFF" w:rsidRPr="00ED584A">
        <w:rPr>
          <w:sz w:val="24"/>
          <w:szCs w:val="24"/>
          <w:lang w:val="en-GB"/>
        </w:rPr>
        <w:t xml:space="preserve">good for Government revenues. </w:t>
      </w:r>
    </w:p>
    <w:p w:rsidR="002922F3" w:rsidRPr="009E0765" w:rsidRDefault="002922F3" w:rsidP="003F13E3">
      <w:pPr>
        <w:spacing w:after="0"/>
        <w:ind w:left="360"/>
        <w:rPr>
          <w:sz w:val="24"/>
          <w:szCs w:val="24"/>
          <w:lang w:val="en-GB"/>
        </w:rPr>
      </w:pPr>
    </w:p>
    <w:p w:rsidR="00556C68" w:rsidRPr="00ED584A" w:rsidRDefault="002922F3" w:rsidP="00ED584A">
      <w:pPr>
        <w:spacing w:after="0"/>
        <w:rPr>
          <w:sz w:val="24"/>
          <w:szCs w:val="24"/>
          <w:lang w:val="en-GB"/>
        </w:rPr>
      </w:pPr>
      <w:r w:rsidRPr="00ED584A">
        <w:rPr>
          <w:b/>
          <w:bCs/>
          <w:sz w:val="24"/>
          <w:szCs w:val="24"/>
          <w:lang w:val="en-GB"/>
        </w:rPr>
        <w:t>The World Bank has withheld approval of Nigeria’s loan request</w:t>
      </w:r>
      <w:r w:rsidRPr="00ED584A">
        <w:rPr>
          <w:sz w:val="24"/>
          <w:szCs w:val="24"/>
          <w:lang w:val="en-GB"/>
        </w:rPr>
        <w:t xml:space="preserve"> of $1.5bn pending the undertaking of reforms by the Government. These include the unification of the various exchange rates, particularly the official rate and the Investors and Exporters (I&amp;E) rate. The budget is predicated at an </w:t>
      </w:r>
      <w:r w:rsidR="005337DA" w:rsidRPr="00ED584A">
        <w:rPr>
          <w:sz w:val="24"/>
          <w:szCs w:val="24"/>
          <w:lang w:val="en-GB"/>
        </w:rPr>
        <w:t>exchange rate of N3</w:t>
      </w:r>
      <w:r w:rsidR="00F14255" w:rsidRPr="00ED584A">
        <w:rPr>
          <w:sz w:val="24"/>
          <w:szCs w:val="24"/>
          <w:lang w:val="en-GB"/>
        </w:rPr>
        <w:t>79</w:t>
      </w:r>
      <w:r w:rsidR="005337DA" w:rsidRPr="00ED584A">
        <w:rPr>
          <w:sz w:val="24"/>
          <w:szCs w:val="24"/>
          <w:lang w:val="en-GB"/>
        </w:rPr>
        <w:t>/$1</w:t>
      </w:r>
      <w:r w:rsidRPr="00ED584A">
        <w:rPr>
          <w:sz w:val="24"/>
          <w:szCs w:val="24"/>
          <w:lang w:val="en-GB"/>
        </w:rPr>
        <w:t xml:space="preserve"> which is at variance with the N388/$1 at the I&amp;E window. G</w:t>
      </w:r>
      <w:r w:rsidR="005337DA" w:rsidRPr="00ED584A">
        <w:rPr>
          <w:sz w:val="24"/>
          <w:szCs w:val="24"/>
          <w:lang w:val="en-GB"/>
        </w:rPr>
        <w:t>DP</w:t>
      </w:r>
      <w:r w:rsidR="004753A2" w:rsidRPr="00ED584A">
        <w:rPr>
          <w:sz w:val="24"/>
          <w:szCs w:val="24"/>
          <w:lang w:val="en-GB"/>
        </w:rPr>
        <w:t xml:space="preserve"> growth</w:t>
      </w:r>
      <w:r w:rsidR="005337DA" w:rsidRPr="00ED584A">
        <w:rPr>
          <w:sz w:val="24"/>
          <w:szCs w:val="24"/>
          <w:lang w:val="en-GB"/>
        </w:rPr>
        <w:t xml:space="preserve"> project</w:t>
      </w:r>
      <w:r w:rsidR="00556C68" w:rsidRPr="00ED584A">
        <w:rPr>
          <w:sz w:val="24"/>
          <w:szCs w:val="24"/>
          <w:lang w:val="en-GB"/>
        </w:rPr>
        <w:t xml:space="preserve">ion of </w:t>
      </w:r>
      <w:r w:rsidR="00F14255" w:rsidRPr="00ED584A">
        <w:rPr>
          <w:sz w:val="24"/>
          <w:szCs w:val="24"/>
          <w:lang w:val="en-GB"/>
        </w:rPr>
        <w:t>3.0</w:t>
      </w:r>
      <w:r w:rsidR="005337DA" w:rsidRPr="00ED584A">
        <w:rPr>
          <w:sz w:val="24"/>
          <w:szCs w:val="24"/>
          <w:lang w:val="en-GB"/>
        </w:rPr>
        <w:t xml:space="preserve">% </w:t>
      </w:r>
      <w:r w:rsidR="00556C68" w:rsidRPr="00ED584A">
        <w:rPr>
          <w:sz w:val="24"/>
          <w:szCs w:val="24"/>
          <w:lang w:val="en-GB"/>
        </w:rPr>
        <w:t xml:space="preserve">exceeds IMF forecast of 2.2% but remains within range. However, </w:t>
      </w:r>
      <w:r w:rsidR="000B3472" w:rsidRPr="00ED584A">
        <w:rPr>
          <w:sz w:val="24"/>
          <w:szCs w:val="24"/>
          <w:lang w:val="en-GB"/>
        </w:rPr>
        <w:t xml:space="preserve">the </w:t>
      </w:r>
      <w:r w:rsidR="00556C68" w:rsidRPr="00ED584A">
        <w:rPr>
          <w:sz w:val="24"/>
          <w:szCs w:val="24"/>
          <w:lang w:val="en-GB"/>
        </w:rPr>
        <w:t xml:space="preserve">inflation target remains unrealistic particularly as petrol and electricity prices have gone up with the removal of </w:t>
      </w:r>
      <w:r w:rsidR="00560711" w:rsidRPr="00ED584A">
        <w:rPr>
          <w:sz w:val="24"/>
          <w:szCs w:val="24"/>
          <w:lang w:val="en-GB"/>
        </w:rPr>
        <w:t xml:space="preserve">their </w:t>
      </w:r>
      <w:r w:rsidR="00556C68" w:rsidRPr="00ED584A">
        <w:rPr>
          <w:sz w:val="24"/>
          <w:szCs w:val="24"/>
          <w:lang w:val="en-GB"/>
        </w:rPr>
        <w:t>subsid</w:t>
      </w:r>
      <w:r w:rsidR="00560711" w:rsidRPr="00ED584A">
        <w:rPr>
          <w:sz w:val="24"/>
          <w:szCs w:val="24"/>
          <w:lang w:val="en-GB"/>
        </w:rPr>
        <w:t>ies</w:t>
      </w:r>
      <w:r w:rsidR="001335CE">
        <w:rPr>
          <w:sz w:val="24"/>
          <w:szCs w:val="24"/>
          <w:lang w:val="en-GB"/>
        </w:rPr>
        <w:t>, and a weakening Naira makes imports more expensive</w:t>
      </w:r>
      <w:r w:rsidR="00556C68" w:rsidRPr="00ED584A">
        <w:rPr>
          <w:sz w:val="24"/>
          <w:szCs w:val="24"/>
          <w:lang w:val="en-GB"/>
        </w:rPr>
        <w:t>. In addition, the closure of the land borders since August 2019 has contributed to rising food prices with inflation already at 13.2% in August</w:t>
      </w:r>
      <w:r w:rsidR="000C4075" w:rsidRPr="00ED584A">
        <w:rPr>
          <w:sz w:val="24"/>
          <w:szCs w:val="24"/>
          <w:lang w:val="en-GB"/>
        </w:rPr>
        <w:t>.</w:t>
      </w:r>
      <w:r w:rsidR="00556C68" w:rsidRPr="00ED584A">
        <w:rPr>
          <w:sz w:val="24"/>
          <w:szCs w:val="24"/>
          <w:lang w:val="en-GB"/>
        </w:rPr>
        <w:t xml:space="preserve"> </w:t>
      </w:r>
      <w:r w:rsidR="00313ED3" w:rsidRPr="00ED584A">
        <w:rPr>
          <w:sz w:val="24"/>
          <w:szCs w:val="24"/>
          <w:lang w:val="en-GB"/>
        </w:rPr>
        <w:t>As a point of reference</w:t>
      </w:r>
      <w:r w:rsidR="00F144DD" w:rsidRPr="00ED584A">
        <w:rPr>
          <w:sz w:val="24"/>
          <w:szCs w:val="24"/>
          <w:lang w:val="en-GB"/>
        </w:rPr>
        <w:t>,</w:t>
      </w:r>
      <w:r w:rsidR="00556C68" w:rsidRPr="00ED584A">
        <w:rPr>
          <w:sz w:val="24"/>
          <w:szCs w:val="24"/>
          <w:lang w:val="en-GB"/>
        </w:rPr>
        <w:t xml:space="preserve"> the Economic Sustainability Plan</w:t>
      </w:r>
      <w:r w:rsidR="00313ED3" w:rsidRPr="00ED584A">
        <w:rPr>
          <w:sz w:val="24"/>
          <w:szCs w:val="24"/>
          <w:lang w:val="en-GB"/>
        </w:rPr>
        <w:t xml:space="preserve"> forecasts inflation at 14%</w:t>
      </w:r>
      <w:r w:rsidR="00556C68" w:rsidRPr="00ED584A">
        <w:rPr>
          <w:sz w:val="24"/>
          <w:szCs w:val="24"/>
          <w:lang w:val="en-GB"/>
        </w:rPr>
        <w:t xml:space="preserve">. </w:t>
      </w:r>
    </w:p>
    <w:p w:rsidR="00F316C7" w:rsidRPr="009E0765" w:rsidRDefault="00F316C7" w:rsidP="003F13E3">
      <w:pPr>
        <w:spacing w:after="0"/>
        <w:ind w:left="360"/>
        <w:rPr>
          <w:sz w:val="24"/>
          <w:szCs w:val="24"/>
          <w:lang w:val="en-GB"/>
        </w:rPr>
      </w:pPr>
    </w:p>
    <w:p w:rsidR="00231CB6" w:rsidRPr="009E0765" w:rsidRDefault="007C5FB4" w:rsidP="00ED584A">
      <w:pPr>
        <w:spacing w:after="0"/>
        <w:rPr>
          <w:sz w:val="24"/>
          <w:szCs w:val="24"/>
          <w:lang w:val="en-GB"/>
        </w:rPr>
      </w:pPr>
      <w:r w:rsidRPr="009E0765">
        <w:rPr>
          <w:b/>
          <w:sz w:val="24"/>
          <w:szCs w:val="24"/>
          <w:lang w:val="en-GB"/>
        </w:rPr>
        <w:t xml:space="preserve">The Covid-19 pandemic </w:t>
      </w:r>
      <w:r w:rsidR="00135BF4">
        <w:rPr>
          <w:b/>
          <w:sz w:val="24"/>
          <w:szCs w:val="24"/>
          <w:lang w:val="en-GB"/>
        </w:rPr>
        <w:t xml:space="preserve">further </w:t>
      </w:r>
      <w:r w:rsidR="00365191">
        <w:rPr>
          <w:b/>
          <w:sz w:val="24"/>
          <w:szCs w:val="24"/>
          <w:lang w:val="en-GB"/>
        </w:rPr>
        <w:t>highlighted</w:t>
      </w:r>
      <w:r w:rsidRPr="009E0765">
        <w:rPr>
          <w:b/>
          <w:sz w:val="24"/>
          <w:szCs w:val="24"/>
          <w:lang w:val="en-GB"/>
        </w:rPr>
        <w:t xml:space="preserve"> the need for increased revenue</w:t>
      </w:r>
      <w:r w:rsidR="007274D7" w:rsidRPr="009E0765">
        <w:rPr>
          <w:b/>
          <w:sz w:val="24"/>
          <w:szCs w:val="24"/>
          <w:lang w:val="en-GB"/>
        </w:rPr>
        <w:t xml:space="preserve"> generation</w:t>
      </w:r>
      <w:r w:rsidRPr="009E0765">
        <w:rPr>
          <w:b/>
          <w:sz w:val="24"/>
          <w:szCs w:val="24"/>
          <w:lang w:val="en-GB"/>
        </w:rPr>
        <w:t xml:space="preserve">. </w:t>
      </w:r>
      <w:r w:rsidR="00BF0109" w:rsidRPr="00ED584A">
        <w:rPr>
          <w:bCs/>
          <w:sz w:val="24"/>
          <w:szCs w:val="24"/>
          <w:lang w:val="en-GB"/>
        </w:rPr>
        <w:t>According to President Buhari’s speech, o</w:t>
      </w:r>
      <w:r w:rsidR="007274D7" w:rsidRPr="00AA5F49">
        <w:rPr>
          <w:bCs/>
          <w:sz w:val="24"/>
          <w:szCs w:val="24"/>
          <w:lang w:val="en-GB"/>
        </w:rPr>
        <w:t>il</w:t>
      </w:r>
      <w:r w:rsidR="007274D7" w:rsidRPr="009E0765">
        <w:rPr>
          <w:sz w:val="24"/>
          <w:szCs w:val="24"/>
          <w:lang w:val="en-GB"/>
        </w:rPr>
        <w:t xml:space="preserve"> </w:t>
      </w:r>
      <w:r w:rsidR="00BF0109" w:rsidRPr="009E0765">
        <w:rPr>
          <w:sz w:val="24"/>
          <w:szCs w:val="24"/>
          <w:lang w:val="en-GB"/>
        </w:rPr>
        <w:t xml:space="preserve">and non-oil revenues </w:t>
      </w:r>
      <w:r w:rsidR="007274D7" w:rsidRPr="009E0765">
        <w:rPr>
          <w:sz w:val="24"/>
          <w:szCs w:val="24"/>
          <w:lang w:val="en-GB"/>
        </w:rPr>
        <w:t xml:space="preserve">account for </w:t>
      </w:r>
      <w:r w:rsidR="00FC2DC2" w:rsidRPr="009E0765">
        <w:rPr>
          <w:sz w:val="24"/>
          <w:szCs w:val="24"/>
          <w:lang w:val="en-GB"/>
        </w:rPr>
        <w:t>25</w:t>
      </w:r>
      <w:r w:rsidR="00BF0109" w:rsidRPr="009E0765">
        <w:rPr>
          <w:sz w:val="24"/>
          <w:szCs w:val="24"/>
          <w:lang w:val="en-GB"/>
        </w:rPr>
        <w:t>.4</w:t>
      </w:r>
      <w:r w:rsidR="007274D7" w:rsidRPr="009E0765">
        <w:rPr>
          <w:sz w:val="24"/>
          <w:szCs w:val="24"/>
          <w:lang w:val="en-GB"/>
        </w:rPr>
        <w:t xml:space="preserve">% </w:t>
      </w:r>
      <w:r w:rsidR="00BF0109" w:rsidRPr="009E0765">
        <w:rPr>
          <w:sz w:val="24"/>
          <w:szCs w:val="24"/>
          <w:lang w:val="en-GB"/>
        </w:rPr>
        <w:t xml:space="preserve">and 18.9% </w:t>
      </w:r>
      <w:r w:rsidR="007274D7" w:rsidRPr="009E0765">
        <w:rPr>
          <w:sz w:val="24"/>
          <w:szCs w:val="24"/>
          <w:lang w:val="en-GB"/>
        </w:rPr>
        <w:t>of projected revenues</w:t>
      </w:r>
      <w:r w:rsidR="00BF0109" w:rsidRPr="009E0765">
        <w:rPr>
          <w:sz w:val="24"/>
          <w:szCs w:val="24"/>
          <w:lang w:val="en-GB"/>
        </w:rPr>
        <w:t xml:space="preserve"> respectively. The Government has introduced measures to increase Government revenues particularly from Government owned agencies where Treasury Directors are now being posted </w:t>
      </w:r>
      <w:r w:rsidR="00365191">
        <w:rPr>
          <w:sz w:val="24"/>
          <w:szCs w:val="24"/>
          <w:lang w:val="en-GB"/>
        </w:rPr>
        <w:t xml:space="preserve">to </w:t>
      </w:r>
      <w:r w:rsidR="00BF0109" w:rsidRPr="009E0765">
        <w:rPr>
          <w:sz w:val="24"/>
          <w:szCs w:val="24"/>
          <w:lang w:val="en-GB"/>
        </w:rPr>
        <w:t xml:space="preserve">those agencies to ascertain the actual level of revenue generated. </w:t>
      </w:r>
      <w:r w:rsidR="0016190E" w:rsidRPr="009E0765">
        <w:rPr>
          <w:sz w:val="24"/>
          <w:szCs w:val="24"/>
          <w:lang w:val="en-GB"/>
        </w:rPr>
        <w:t xml:space="preserve">Those </w:t>
      </w:r>
      <w:r w:rsidR="007C3347" w:rsidRPr="009E0765">
        <w:rPr>
          <w:sz w:val="24"/>
          <w:szCs w:val="24"/>
          <w:lang w:val="en-GB"/>
        </w:rPr>
        <w:t>revenue-generating</w:t>
      </w:r>
      <w:r w:rsidR="00024BF3" w:rsidRPr="009E0765">
        <w:rPr>
          <w:sz w:val="24"/>
          <w:szCs w:val="24"/>
          <w:lang w:val="en-GB"/>
        </w:rPr>
        <w:t xml:space="preserve"> agencies </w:t>
      </w:r>
      <w:r w:rsidR="0016190E" w:rsidRPr="009E0765">
        <w:rPr>
          <w:sz w:val="24"/>
          <w:szCs w:val="24"/>
          <w:lang w:val="en-GB"/>
        </w:rPr>
        <w:t>are to remit</w:t>
      </w:r>
      <w:r w:rsidR="00D046F1" w:rsidRPr="009E0765">
        <w:rPr>
          <w:sz w:val="24"/>
          <w:szCs w:val="24"/>
          <w:lang w:val="en-GB"/>
        </w:rPr>
        <w:t xml:space="preserve"> </w:t>
      </w:r>
      <w:r w:rsidR="00DC5464" w:rsidRPr="009E0765">
        <w:rPr>
          <w:sz w:val="24"/>
          <w:szCs w:val="24"/>
          <w:lang w:val="en-GB"/>
        </w:rPr>
        <w:t xml:space="preserve">80% of </w:t>
      </w:r>
      <w:r w:rsidR="00D046F1" w:rsidRPr="009E0765">
        <w:rPr>
          <w:sz w:val="24"/>
          <w:szCs w:val="24"/>
          <w:lang w:val="en-GB"/>
        </w:rPr>
        <w:t>the revenue</w:t>
      </w:r>
      <w:r w:rsidR="0016190E" w:rsidRPr="009E0765">
        <w:rPr>
          <w:sz w:val="24"/>
          <w:szCs w:val="24"/>
          <w:lang w:val="en-GB"/>
        </w:rPr>
        <w:t>s</w:t>
      </w:r>
      <w:r w:rsidR="00D046F1" w:rsidRPr="009E0765">
        <w:rPr>
          <w:sz w:val="24"/>
          <w:szCs w:val="24"/>
          <w:lang w:val="en-GB"/>
        </w:rPr>
        <w:t xml:space="preserve"> generat</w:t>
      </w:r>
      <w:r w:rsidR="0016190E" w:rsidRPr="009E0765">
        <w:rPr>
          <w:sz w:val="24"/>
          <w:szCs w:val="24"/>
          <w:lang w:val="en-GB"/>
        </w:rPr>
        <w:t xml:space="preserve">ed </w:t>
      </w:r>
      <w:r w:rsidR="00024BF3" w:rsidRPr="009E0765">
        <w:rPr>
          <w:sz w:val="24"/>
          <w:szCs w:val="24"/>
          <w:lang w:val="en-GB"/>
        </w:rPr>
        <w:t xml:space="preserve">to Government coffers. </w:t>
      </w:r>
      <w:r w:rsidR="0016190E" w:rsidRPr="009E0765">
        <w:rPr>
          <w:sz w:val="24"/>
          <w:szCs w:val="24"/>
          <w:lang w:val="en-GB"/>
        </w:rPr>
        <w:t xml:space="preserve">Rising cost of debt service remains the underlying reason for these measures. According to the Budget Office Implementation Report for half-year 2020, 82.5% of all federal revenues went to debt service. </w:t>
      </w:r>
      <w:r w:rsidR="00851C8A" w:rsidRPr="00851C8A">
        <w:rPr>
          <w:sz w:val="24"/>
          <w:szCs w:val="24"/>
          <w:lang w:val="en-GB"/>
        </w:rPr>
        <w:t xml:space="preserve">Since the Buhari administration assumed office in 2015, external debt has increased by 205%. Loans of up to $22.8bn mainly for infrastructure projects recently approved are yet to be drawn down. With new borrowings of N4.3tn for the 2021 budget, revenue mobilization should remain the top priority for Government.  </w:t>
      </w:r>
    </w:p>
    <w:p w:rsidR="00231CB6" w:rsidRPr="009E0765" w:rsidRDefault="00231CB6" w:rsidP="009E0765">
      <w:pPr>
        <w:pStyle w:val="ListParagraph"/>
        <w:rPr>
          <w:sz w:val="24"/>
          <w:szCs w:val="24"/>
          <w:lang w:val="en-GB"/>
        </w:rPr>
      </w:pPr>
    </w:p>
    <w:p w:rsidR="00535679" w:rsidRPr="009E0765" w:rsidRDefault="00CB3660" w:rsidP="00ED584A">
      <w:pPr>
        <w:spacing w:after="0"/>
        <w:rPr>
          <w:i/>
          <w:sz w:val="24"/>
          <w:szCs w:val="24"/>
          <w:lang w:val="en-GB"/>
        </w:rPr>
      </w:pPr>
      <w:r w:rsidRPr="009E0765">
        <w:rPr>
          <w:sz w:val="24"/>
          <w:szCs w:val="24"/>
          <w:lang w:val="en-GB"/>
        </w:rPr>
        <w:t xml:space="preserve">For the second consecutive year, </w:t>
      </w:r>
      <w:r w:rsidRPr="00ED584A">
        <w:rPr>
          <w:b/>
          <w:bCs/>
          <w:sz w:val="24"/>
          <w:szCs w:val="24"/>
          <w:lang w:val="en-GB"/>
        </w:rPr>
        <w:t xml:space="preserve">a Finance Bill will accompany the 2021 Federal Budget. </w:t>
      </w:r>
      <w:r w:rsidR="007C3347" w:rsidRPr="009E0765">
        <w:rPr>
          <w:sz w:val="24"/>
          <w:szCs w:val="24"/>
          <w:lang w:val="en-GB"/>
        </w:rPr>
        <w:t xml:space="preserve">Though the contents of the 2021 Finance Bill is yet to be unveiled, this policy enables speedy amendments to key legislations without the delays associated with the National Assembly processes. </w:t>
      </w:r>
      <w:r w:rsidR="00535679" w:rsidRPr="009E0765">
        <w:rPr>
          <w:sz w:val="24"/>
          <w:szCs w:val="24"/>
          <w:lang w:val="en-GB"/>
        </w:rPr>
        <w:t xml:space="preserve">The Minister of Finance, </w:t>
      </w:r>
      <w:r w:rsidR="007C3347" w:rsidRPr="009E0765">
        <w:rPr>
          <w:sz w:val="24"/>
          <w:szCs w:val="24"/>
          <w:lang w:val="en-GB"/>
        </w:rPr>
        <w:t>Budget, and National Planning will present the breakdown of the budget and the bill in the coming days, and this will throw more light on the fiscal policy incentives being proposed.</w:t>
      </w:r>
    </w:p>
    <w:p w:rsidR="00535679" w:rsidRPr="009E0765" w:rsidRDefault="00535679" w:rsidP="009E0765">
      <w:pPr>
        <w:pStyle w:val="ListParagraph"/>
        <w:rPr>
          <w:sz w:val="24"/>
          <w:szCs w:val="24"/>
          <w:lang w:val="en-GB"/>
        </w:rPr>
      </w:pPr>
    </w:p>
    <w:p w:rsidR="00D16F08" w:rsidRPr="009E0765" w:rsidRDefault="008A6166" w:rsidP="00ED584A">
      <w:pPr>
        <w:spacing w:after="0"/>
        <w:rPr>
          <w:sz w:val="24"/>
          <w:szCs w:val="24"/>
          <w:lang w:val="en-GB"/>
        </w:rPr>
      </w:pPr>
      <w:r w:rsidRPr="009E0765">
        <w:rPr>
          <w:sz w:val="24"/>
          <w:szCs w:val="24"/>
          <w:lang w:val="en-GB"/>
        </w:rPr>
        <w:t xml:space="preserve">In what the Government sees as a commitment to the security sector, </w:t>
      </w:r>
      <w:r w:rsidR="003750A4" w:rsidRPr="009E0765">
        <w:rPr>
          <w:b/>
          <w:sz w:val="24"/>
          <w:szCs w:val="24"/>
          <w:lang w:val="en-GB"/>
        </w:rPr>
        <w:t xml:space="preserve">overall </w:t>
      </w:r>
      <w:r w:rsidRPr="009E0765">
        <w:rPr>
          <w:b/>
          <w:sz w:val="24"/>
          <w:szCs w:val="24"/>
          <w:lang w:val="en-GB"/>
        </w:rPr>
        <w:t xml:space="preserve">allocations to </w:t>
      </w:r>
      <w:r w:rsidR="00E02E64" w:rsidRPr="009E0765">
        <w:rPr>
          <w:b/>
          <w:sz w:val="24"/>
          <w:szCs w:val="24"/>
          <w:lang w:val="en-GB"/>
        </w:rPr>
        <w:t>security</w:t>
      </w:r>
      <w:r w:rsidR="00E02E64" w:rsidRPr="009E0765">
        <w:rPr>
          <w:sz w:val="24"/>
          <w:szCs w:val="24"/>
          <w:lang w:val="en-GB"/>
        </w:rPr>
        <w:t xml:space="preserve"> (</w:t>
      </w:r>
      <w:r w:rsidRPr="009E0765">
        <w:rPr>
          <w:sz w:val="24"/>
          <w:szCs w:val="24"/>
          <w:lang w:val="en-GB"/>
        </w:rPr>
        <w:t>Defence</w:t>
      </w:r>
      <w:r w:rsidR="00A435A2" w:rsidRPr="009E0765">
        <w:rPr>
          <w:sz w:val="24"/>
          <w:szCs w:val="24"/>
          <w:lang w:val="en-GB"/>
        </w:rPr>
        <w:t xml:space="preserve">, </w:t>
      </w:r>
      <w:r w:rsidRPr="009E0765">
        <w:rPr>
          <w:sz w:val="24"/>
          <w:szCs w:val="24"/>
          <w:lang w:val="en-GB"/>
        </w:rPr>
        <w:t>Interior</w:t>
      </w:r>
      <w:r w:rsidR="00A435A2" w:rsidRPr="009E0765">
        <w:rPr>
          <w:sz w:val="24"/>
          <w:szCs w:val="24"/>
          <w:lang w:val="en-GB"/>
        </w:rPr>
        <w:t xml:space="preserve">, </w:t>
      </w:r>
      <w:r w:rsidR="00E02E64" w:rsidRPr="009E0765">
        <w:rPr>
          <w:sz w:val="24"/>
          <w:szCs w:val="24"/>
          <w:lang w:val="en-GB"/>
        </w:rPr>
        <w:t>P</w:t>
      </w:r>
      <w:r w:rsidR="00A435A2" w:rsidRPr="009E0765">
        <w:rPr>
          <w:sz w:val="24"/>
          <w:szCs w:val="24"/>
          <w:lang w:val="en-GB"/>
        </w:rPr>
        <w:t xml:space="preserve">olice, </w:t>
      </w:r>
      <w:r w:rsidR="002010EE">
        <w:rPr>
          <w:sz w:val="24"/>
          <w:szCs w:val="24"/>
          <w:lang w:val="en-GB"/>
        </w:rPr>
        <w:t xml:space="preserve">the </w:t>
      </w:r>
      <w:r w:rsidR="003750A4" w:rsidRPr="009E0765">
        <w:rPr>
          <w:sz w:val="24"/>
          <w:szCs w:val="24"/>
          <w:lang w:val="en-GB"/>
        </w:rPr>
        <w:t>O</w:t>
      </w:r>
      <w:r w:rsidR="00A435A2" w:rsidRPr="009E0765">
        <w:rPr>
          <w:sz w:val="24"/>
          <w:szCs w:val="24"/>
          <w:lang w:val="en-GB"/>
        </w:rPr>
        <w:t>ffice of the National Security Adviser and special military operations</w:t>
      </w:r>
      <w:r w:rsidR="00E02E64" w:rsidRPr="009E0765">
        <w:rPr>
          <w:sz w:val="24"/>
          <w:szCs w:val="24"/>
          <w:lang w:val="en-GB"/>
        </w:rPr>
        <w:t>)</w:t>
      </w:r>
      <w:r w:rsidRPr="009E0765">
        <w:rPr>
          <w:sz w:val="24"/>
          <w:szCs w:val="24"/>
          <w:lang w:val="en-GB"/>
        </w:rPr>
        <w:t xml:space="preserve"> amount</w:t>
      </w:r>
      <w:r w:rsidR="00F777A4" w:rsidRPr="009E0765">
        <w:rPr>
          <w:sz w:val="24"/>
          <w:szCs w:val="24"/>
          <w:lang w:val="en-GB"/>
        </w:rPr>
        <w:t>ed</w:t>
      </w:r>
      <w:r w:rsidRPr="009E0765">
        <w:rPr>
          <w:sz w:val="24"/>
          <w:szCs w:val="24"/>
          <w:lang w:val="en-GB"/>
        </w:rPr>
        <w:t xml:space="preserve"> to </w:t>
      </w:r>
      <w:r w:rsidR="00B42B1C" w:rsidRPr="009E0765">
        <w:rPr>
          <w:sz w:val="24"/>
          <w:szCs w:val="24"/>
          <w:lang w:val="en-GB"/>
        </w:rPr>
        <w:t>N</w:t>
      </w:r>
      <w:r w:rsidR="002836F6" w:rsidRPr="009E0765">
        <w:rPr>
          <w:sz w:val="24"/>
          <w:szCs w:val="24"/>
          <w:lang w:val="en-GB"/>
        </w:rPr>
        <w:t xml:space="preserve">2.09tn (around </w:t>
      </w:r>
      <w:r w:rsidR="000B29DB" w:rsidRPr="009E0765">
        <w:rPr>
          <w:b/>
          <w:sz w:val="24"/>
          <w:szCs w:val="24"/>
          <w:lang w:val="en-GB"/>
        </w:rPr>
        <w:t>15.9</w:t>
      </w:r>
      <w:r w:rsidR="002836F6" w:rsidRPr="009E0765">
        <w:rPr>
          <w:b/>
          <w:sz w:val="24"/>
          <w:szCs w:val="24"/>
          <w:lang w:val="en-GB"/>
        </w:rPr>
        <w:t>% of total allocations</w:t>
      </w:r>
      <w:r w:rsidR="002836F6" w:rsidRPr="009E0765">
        <w:rPr>
          <w:sz w:val="24"/>
          <w:szCs w:val="24"/>
          <w:lang w:val="en-GB"/>
        </w:rPr>
        <w:t>) but also represent</w:t>
      </w:r>
      <w:r w:rsidR="000B29DB" w:rsidRPr="009E0765">
        <w:rPr>
          <w:sz w:val="24"/>
          <w:szCs w:val="24"/>
          <w:lang w:val="en-GB"/>
        </w:rPr>
        <w:t>s</w:t>
      </w:r>
      <w:r w:rsidR="002836F6" w:rsidRPr="009E0765">
        <w:rPr>
          <w:sz w:val="24"/>
          <w:szCs w:val="24"/>
          <w:lang w:val="en-GB"/>
        </w:rPr>
        <w:t xml:space="preserve"> a</w:t>
      </w:r>
      <w:r w:rsidR="000B29DB" w:rsidRPr="009E0765">
        <w:rPr>
          <w:sz w:val="24"/>
          <w:szCs w:val="24"/>
          <w:lang w:val="en-GB"/>
        </w:rPr>
        <w:t xml:space="preserve">n increase of </w:t>
      </w:r>
      <w:r w:rsidR="002836F6" w:rsidRPr="009E0765">
        <w:rPr>
          <w:sz w:val="24"/>
          <w:szCs w:val="24"/>
          <w:lang w:val="en-GB"/>
        </w:rPr>
        <w:t>46% from N</w:t>
      </w:r>
      <w:r w:rsidR="00B42B1C" w:rsidRPr="009E0765">
        <w:rPr>
          <w:sz w:val="24"/>
          <w:szCs w:val="24"/>
          <w:lang w:val="en-GB"/>
        </w:rPr>
        <w:t>1.</w:t>
      </w:r>
      <w:r w:rsidR="00A435A2" w:rsidRPr="009E0765">
        <w:rPr>
          <w:sz w:val="24"/>
          <w:szCs w:val="24"/>
          <w:lang w:val="en-GB"/>
        </w:rPr>
        <w:t>78</w:t>
      </w:r>
      <w:r w:rsidRPr="009E0765">
        <w:rPr>
          <w:sz w:val="24"/>
          <w:szCs w:val="24"/>
          <w:lang w:val="en-GB"/>
        </w:rPr>
        <w:t>tn</w:t>
      </w:r>
      <w:r w:rsidR="000B29DB" w:rsidRPr="009E0765">
        <w:rPr>
          <w:sz w:val="24"/>
          <w:szCs w:val="24"/>
          <w:lang w:val="en-GB"/>
        </w:rPr>
        <w:t xml:space="preserve"> in the 2020 budget. </w:t>
      </w:r>
      <w:r w:rsidR="00D16F08" w:rsidRPr="009E0765">
        <w:rPr>
          <w:sz w:val="24"/>
          <w:szCs w:val="24"/>
          <w:lang w:val="en-GB"/>
        </w:rPr>
        <w:t xml:space="preserve">On the other hand, </w:t>
      </w:r>
      <w:r w:rsidR="00D16F08" w:rsidRPr="009E0765">
        <w:rPr>
          <w:b/>
          <w:sz w:val="24"/>
          <w:szCs w:val="24"/>
          <w:lang w:val="en-GB"/>
        </w:rPr>
        <w:t xml:space="preserve">overall allocations to </w:t>
      </w:r>
      <w:r w:rsidR="00504FAA">
        <w:rPr>
          <w:b/>
          <w:sz w:val="24"/>
          <w:szCs w:val="24"/>
          <w:lang w:val="en-GB"/>
        </w:rPr>
        <w:t xml:space="preserve">the </w:t>
      </w:r>
      <w:r w:rsidR="00D16F08" w:rsidRPr="009E0765">
        <w:rPr>
          <w:b/>
          <w:sz w:val="24"/>
          <w:szCs w:val="24"/>
          <w:lang w:val="en-GB"/>
        </w:rPr>
        <w:t>social sector</w:t>
      </w:r>
      <w:r w:rsidR="00D16F08" w:rsidRPr="009E0765">
        <w:rPr>
          <w:sz w:val="24"/>
          <w:szCs w:val="24"/>
          <w:lang w:val="en-GB"/>
        </w:rPr>
        <w:t xml:space="preserve"> (</w:t>
      </w:r>
      <w:r w:rsidR="003473EA">
        <w:rPr>
          <w:sz w:val="24"/>
          <w:szCs w:val="24"/>
          <w:lang w:val="en-GB"/>
        </w:rPr>
        <w:t>H</w:t>
      </w:r>
      <w:r w:rsidR="00D16F08" w:rsidRPr="009E0765">
        <w:rPr>
          <w:sz w:val="24"/>
          <w:szCs w:val="24"/>
          <w:lang w:val="en-GB"/>
        </w:rPr>
        <w:t>ealth, Education and Humanitarian Affairs, Disaster Management and Social Development) a</w:t>
      </w:r>
      <w:r w:rsidR="00F777A4" w:rsidRPr="009E0765">
        <w:rPr>
          <w:sz w:val="24"/>
          <w:szCs w:val="24"/>
          <w:lang w:val="en-GB"/>
        </w:rPr>
        <w:t>mounted</w:t>
      </w:r>
      <w:r w:rsidR="00D16F08" w:rsidRPr="009E0765">
        <w:rPr>
          <w:sz w:val="24"/>
          <w:szCs w:val="24"/>
          <w:lang w:val="en-GB"/>
        </w:rPr>
        <w:t xml:space="preserve"> </w:t>
      </w:r>
      <w:r w:rsidR="00F777A4" w:rsidRPr="009E0765">
        <w:rPr>
          <w:sz w:val="24"/>
          <w:szCs w:val="24"/>
          <w:lang w:val="en-GB"/>
        </w:rPr>
        <w:t>to</w:t>
      </w:r>
      <w:r w:rsidR="00D16F08" w:rsidRPr="009E0765">
        <w:rPr>
          <w:sz w:val="24"/>
          <w:szCs w:val="24"/>
          <w:lang w:val="en-GB"/>
        </w:rPr>
        <w:t xml:space="preserve"> </w:t>
      </w:r>
      <w:r w:rsidR="000B29DB" w:rsidRPr="009E0765">
        <w:rPr>
          <w:sz w:val="24"/>
          <w:szCs w:val="24"/>
          <w:lang w:val="en-GB"/>
        </w:rPr>
        <w:t xml:space="preserve">N1.25tn </w:t>
      </w:r>
      <w:r w:rsidR="00D16F08" w:rsidRPr="009E0765">
        <w:rPr>
          <w:sz w:val="24"/>
          <w:szCs w:val="24"/>
          <w:lang w:val="en-GB"/>
        </w:rPr>
        <w:t xml:space="preserve">or </w:t>
      </w:r>
      <w:r w:rsidR="00D16F08" w:rsidRPr="009E0765">
        <w:rPr>
          <w:b/>
          <w:sz w:val="24"/>
          <w:szCs w:val="24"/>
          <w:lang w:val="en-GB"/>
        </w:rPr>
        <w:t>9.</w:t>
      </w:r>
      <w:r w:rsidR="00C53AD4" w:rsidRPr="009E0765">
        <w:rPr>
          <w:b/>
          <w:sz w:val="24"/>
          <w:szCs w:val="24"/>
          <w:lang w:val="en-GB"/>
        </w:rPr>
        <w:t>6</w:t>
      </w:r>
      <w:r w:rsidR="00D16F08" w:rsidRPr="009E0765">
        <w:rPr>
          <w:b/>
          <w:sz w:val="24"/>
          <w:szCs w:val="24"/>
          <w:lang w:val="en-GB"/>
        </w:rPr>
        <w:t>% of the total budget</w:t>
      </w:r>
      <w:r w:rsidR="00D16F08" w:rsidRPr="009E0765">
        <w:rPr>
          <w:sz w:val="24"/>
          <w:szCs w:val="24"/>
          <w:lang w:val="en-GB"/>
        </w:rPr>
        <w:t xml:space="preserve">. </w:t>
      </w:r>
      <w:r w:rsidR="00C53AD4" w:rsidRPr="009E0765">
        <w:rPr>
          <w:sz w:val="24"/>
          <w:szCs w:val="24"/>
          <w:lang w:val="en-GB"/>
        </w:rPr>
        <w:t>This also represents an increase of 27% over the 2020 budget.</w:t>
      </w:r>
      <w:r w:rsidR="00422D85" w:rsidRPr="009E0765">
        <w:rPr>
          <w:sz w:val="24"/>
          <w:szCs w:val="24"/>
          <w:lang w:val="en-GB"/>
        </w:rPr>
        <w:t xml:space="preserve"> </w:t>
      </w:r>
      <w:r w:rsidR="00D16F08" w:rsidRPr="009E0765">
        <w:rPr>
          <w:sz w:val="24"/>
          <w:szCs w:val="24"/>
          <w:lang w:val="en-GB"/>
        </w:rPr>
        <w:t xml:space="preserve"> </w:t>
      </w:r>
      <w:r w:rsidR="00634DD9" w:rsidRPr="009E0765">
        <w:rPr>
          <w:sz w:val="24"/>
          <w:szCs w:val="24"/>
          <w:lang w:val="en-GB"/>
        </w:rPr>
        <w:t xml:space="preserve"> </w:t>
      </w:r>
    </w:p>
    <w:p w:rsidR="00D16F08" w:rsidRPr="009E0765" w:rsidRDefault="00D16F08" w:rsidP="00311CA1">
      <w:pPr>
        <w:pStyle w:val="ListParagraph"/>
        <w:rPr>
          <w:sz w:val="24"/>
          <w:szCs w:val="24"/>
          <w:lang w:val="en-GB"/>
        </w:rPr>
      </w:pPr>
    </w:p>
    <w:p w:rsidR="008A6166" w:rsidRPr="009E0765" w:rsidRDefault="00D16F08" w:rsidP="00ED584A">
      <w:pPr>
        <w:spacing w:after="0"/>
        <w:rPr>
          <w:sz w:val="24"/>
          <w:szCs w:val="24"/>
          <w:lang w:val="en-GB"/>
        </w:rPr>
      </w:pPr>
      <w:r w:rsidRPr="009E0765">
        <w:rPr>
          <w:b/>
          <w:sz w:val="24"/>
          <w:szCs w:val="24"/>
          <w:lang w:val="en-GB"/>
        </w:rPr>
        <w:t>On the recurrent side</w:t>
      </w:r>
      <w:r w:rsidRPr="009E0765">
        <w:rPr>
          <w:sz w:val="24"/>
          <w:szCs w:val="24"/>
          <w:lang w:val="en-GB"/>
        </w:rPr>
        <w:t>, the</w:t>
      </w:r>
      <w:r w:rsidR="008A6166" w:rsidRPr="009E0765">
        <w:rPr>
          <w:sz w:val="24"/>
          <w:szCs w:val="24"/>
          <w:lang w:val="en-GB"/>
        </w:rPr>
        <w:t xml:space="preserve"> Ministry of </w:t>
      </w:r>
      <w:r w:rsidR="00A435A2" w:rsidRPr="009E0765">
        <w:rPr>
          <w:sz w:val="24"/>
          <w:szCs w:val="24"/>
          <w:lang w:val="en-GB"/>
        </w:rPr>
        <w:t>Defence</w:t>
      </w:r>
      <w:r w:rsidR="008A6166" w:rsidRPr="009E0765">
        <w:rPr>
          <w:sz w:val="24"/>
          <w:szCs w:val="24"/>
          <w:lang w:val="en-GB"/>
        </w:rPr>
        <w:t xml:space="preserve"> </w:t>
      </w:r>
      <w:r w:rsidR="00634DD9" w:rsidRPr="009E0765">
        <w:rPr>
          <w:sz w:val="24"/>
          <w:szCs w:val="24"/>
          <w:lang w:val="en-GB"/>
        </w:rPr>
        <w:t>has the largest budget (</w:t>
      </w:r>
      <w:r w:rsidR="00601DEB" w:rsidRPr="009E0765">
        <w:rPr>
          <w:sz w:val="24"/>
          <w:szCs w:val="24"/>
          <w:lang w:val="en-GB"/>
        </w:rPr>
        <w:t>14.8% of recurrent exp.</w:t>
      </w:r>
      <w:r w:rsidR="00634DD9" w:rsidRPr="009E0765">
        <w:rPr>
          <w:sz w:val="24"/>
          <w:szCs w:val="24"/>
          <w:lang w:val="en-GB"/>
        </w:rPr>
        <w:t xml:space="preserve">) followed by </w:t>
      </w:r>
      <w:r w:rsidR="003750A4" w:rsidRPr="009E0765">
        <w:rPr>
          <w:sz w:val="24"/>
          <w:szCs w:val="24"/>
          <w:lang w:val="en-GB"/>
        </w:rPr>
        <w:t>E</w:t>
      </w:r>
      <w:r w:rsidR="00634DD9" w:rsidRPr="009E0765">
        <w:rPr>
          <w:sz w:val="24"/>
          <w:szCs w:val="24"/>
          <w:lang w:val="en-GB"/>
        </w:rPr>
        <w:t>ducation (</w:t>
      </w:r>
      <w:r w:rsidR="00601DEB" w:rsidRPr="009E0765">
        <w:rPr>
          <w:sz w:val="24"/>
          <w:szCs w:val="24"/>
          <w:lang w:val="en-GB"/>
        </w:rPr>
        <w:t>9.6</w:t>
      </w:r>
      <w:r w:rsidR="00946D13" w:rsidRPr="009E0765">
        <w:rPr>
          <w:sz w:val="24"/>
          <w:szCs w:val="24"/>
          <w:lang w:val="en-GB"/>
        </w:rPr>
        <w:t>%</w:t>
      </w:r>
      <w:r w:rsidR="00634DD9" w:rsidRPr="009E0765">
        <w:rPr>
          <w:sz w:val="24"/>
          <w:szCs w:val="24"/>
          <w:lang w:val="en-GB"/>
        </w:rPr>
        <w:t xml:space="preserve">) </w:t>
      </w:r>
      <w:r w:rsidR="008A3EE8">
        <w:rPr>
          <w:sz w:val="24"/>
          <w:szCs w:val="24"/>
          <w:lang w:val="en-GB"/>
        </w:rPr>
        <w:t xml:space="preserve">the </w:t>
      </w:r>
      <w:r w:rsidR="00A435A2" w:rsidRPr="009E0765">
        <w:rPr>
          <w:sz w:val="24"/>
          <w:szCs w:val="24"/>
          <w:lang w:val="en-GB"/>
        </w:rPr>
        <w:t>Police</w:t>
      </w:r>
      <w:r w:rsidR="00634DD9" w:rsidRPr="009E0765">
        <w:rPr>
          <w:sz w:val="24"/>
          <w:szCs w:val="24"/>
          <w:lang w:val="en-GB"/>
        </w:rPr>
        <w:t xml:space="preserve"> (</w:t>
      </w:r>
      <w:r w:rsidR="00601DEB" w:rsidRPr="009E0765">
        <w:rPr>
          <w:sz w:val="24"/>
          <w:szCs w:val="24"/>
          <w:lang w:val="en-GB"/>
        </w:rPr>
        <w:t>7</w:t>
      </w:r>
      <w:r w:rsidR="00946D13" w:rsidRPr="009E0765">
        <w:rPr>
          <w:sz w:val="24"/>
          <w:szCs w:val="24"/>
          <w:lang w:val="en-GB"/>
        </w:rPr>
        <w:t>.8%</w:t>
      </w:r>
      <w:r w:rsidR="00634DD9" w:rsidRPr="009E0765">
        <w:rPr>
          <w:sz w:val="24"/>
          <w:szCs w:val="24"/>
          <w:lang w:val="en-GB"/>
        </w:rPr>
        <w:t>)</w:t>
      </w:r>
      <w:r w:rsidR="003750A4" w:rsidRPr="009E0765">
        <w:rPr>
          <w:sz w:val="24"/>
          <w:szCs w:val="24"/>
          <w:lang w:val="en-GB"/>
        </w:rPr>
        <w:t>, Health (</w:t>
      </w:r>
      <w:r w:rsidR="00601DEB" w:rsidRPr="009E0765">
        <w:rPr>
          <w:sz w:val="24"/>
          <w:szCs w:val="24"/>
          <w:lang w:val="en-GB"/>
        </w:rPr>
        <w:t>6.7</w:t>
      </w:r>
      <w:r w:rsidR="00946D13" w:rsidRPr="009E0765">
        <w:rPr>
          <w:sz w:val="24"/>
          <w:szCs w:val="24"/>
          <w:lang w:val="en-GB"/>
        </w:rPr>
        <w:t>%</w:t>
      </w:r>
      <w:r w:rsidR="003750A4" w:rsidRPr="009E0765">
        <w:rPr>
          <w:sz w:val="24"/>
          <w:szCs w:val="24"/>
          <w:lang w:val="en-GB"/>
        </w:rPr>
        <w:t>) and Interior (</w:t>
      </w:r>
      <w:r w:rsidR="00601DEB" w:rsidRPr="009E0765">
        <w:rPr>
          <w:sz w:val="24"/>
          <w:szCs w:val="24"/>
          <w:lang w:val="en-GB"/>
        </w:rPr>
        <w:t>4.0</w:t>
      </w:r>
      <w:r w:rsidR="00946D13" w:rsidRPr="009E0765">
        <w:rPr>
          <w:sz w:val="24"/>
          <w:szCs w:val="24"/>
          <w:lang w:val="en-GB"/>
        </w:rPr>
        <w:t>%</w:t>
      </w:r>
      <w:r w:rsidR="003750A4" w:rsidRPr="009E0765">
        <w:rPr>
          <w:sz w:val="24"/>
          <w:szCs w:val="24"/>
          <w:lang w:val="en-GB"/>
        </w:rPr>
        <w:t>)</w:t>
      </w:r>
      <w:r w:rsidR="00F777A4" w:rsidRPr="009E0765">
        <w:rPr>
          <w:sz w:val="24"/>
          <w:szCs w:val="24"/>
          <w:lang w:val="en-GB"/>
        </w:rPr>
        <w:t>.</w:t>
      </w:r>
      <w:r w:rsidRPr="009E0765">
        <w:rPr>
          <w:sz w:val="24"/>
          <w:szCs w:val="24"/>
          <w:lang w:val="en-GB"/>
        </w:rPr>
        <w:t xml:space="preserve"> </w:t>
      </w:r>
      <w:r w:rsidRPr="009E0765">
        <w:rPr>
          <w:b/>
          <w:sz w:val="24"/>
          <w:szCs w:val="24"/>
          <w:lang w:val="en-GB"/>
        </w:rPr>
        <w:t>The capital expenditure</w:t>
      </w:r>
      <w:r w:rsidRPr="009E0765">
        <w:rPr>
          <w:sz w:val="24"/>
          <w:szCs w:val="24"/>
          <w:lang w:val="en-GB"/>
        </w:rPr>
        <w:t xml:space="preserve"> reveals the emphasis on infrastructure projects with the highest allocation going to the Ministry of Works and Housing (</w:t>
      </w:r>
      <w:r w:rsidR="00CF4353" w:rsidRPr="009E0765">
        <w:rPr>
          <w:sz w:val="24"/>
          <w:szCs w:val="24"/>
          <w:lang w:val="en-GB"/>
        </w:rPr>
        <w:t>11.2% of capital exp.</w:t>
      </w:r>
      <w:r w:rsidRPr="009E0765">
        <w:rPr>
          <w:sz w:val="24"/>
          <w:szCs w:val="24"/>
          <w:lang w:val="en-GB"/>
        </w:rPr>
        <w:t xml:space="preserve">), followed by </w:t>
      </w:r>
      <w:r w:rsidR="00CF4353" w:rsidRPr="009E0765">
        <w:rPr>
          <w:sz w:val="24"/>
          <w:szCs w:val="24"/>
          <w:lang w:val="en-GB"/>
        </w:rPr>
        <w:lastRenderedPageBreak/>
        <w:t>Finance, Budget and National Planning</w:t>
      </w:r>
      <w:r w:rsidR="005C3A74" w:rsidRPr="009E0765">
        <w:rPr>
          <w:sz w:val="24"/>
          <w:szCs w:val="24"/>
          <w:lang w:val="en-GB"/>
        </w:rPr>
        <w:t xml:space="preserve"> (1</w:t>
      </w:r>
      <w:r w:rsidR="00CF4353" w:rsidRPr="009E0765">
        <w:rPr>
          <w:sz w:val="24"/>
          <w:szCs w:val="24"/>
          <w:lang w:val="en-GB"/>
        </w:rPr>
        <w:t>0</w:t>
      </w:r>
      <w:r w:rsidR="00946D13" w:rsidRPr="009E0765">
        <w:rPr>
          <w:sz w:val="24"/>
          <w:szCs w:val="24"/>
          <w:lang w:val="en-GB"/>
        </w:rPr>
        <w:t>.</w:t>
      </w:r>
      <w:r w:rsidR="00CF4353" w:rsidRPr="009E0765">
        <w:rPr>
          <w:sz w:val="24"/>
          <w:szCs w:val="24"/>
          <w:lang w:val="en-GB"/>
        </w:rPr>
        <w:t>6</w:t>
      </w:r>
      <w:r w:rsidR="00946D13" w:rsidRPr="009E0765">
        <w:rPr>
          <w:sz w:val="24"/>
          <w:szCs w:val="24"/>
          <w:lang w:val="en-GB"/>
        </w:rPr>
        <w:t>%</w:t>
      </w:r>
      <w:r w:rsidR="005C3A74" w:rsidRPr="009E0765">
        <w:rPr>
          <w:sz w:val="24"/>
          <w:szCs w:val="24"/>
          <w:lang w:val="en-GB"/>
        </w:rPr>
        <w:t>), Transport (</w:t>
      </w:r>
      <w:r w:rsidR="00CF4353" w:rsidRPr="009E0765">
        <w:rPr>
          <w:sz w:val="24"/>
          <w:szCs w:val="24"/>
          <w:lang w:val="en-GB"/>
        </w:rPr>
        <w:t>7.</w:t>
      </w:r>
      <w:r w:rsidR="005C3A74" w:rsidRPr="009E0765">
        <w:rPr>
          <w:sz w:val="24"/>
          <w:szCs w:val="24"/>
          <w:lang w:val="en-GB"/>
        </w:rPr>
        <w:t>1</w:t>
      </w:r>
      <w:r w:rsidR="00946D13" w:rsidRPr="009E0765">
        <w:rPr>
          <w:sz w:val="24"/>
          <w:szCs w:val="24"/>
          <w:lang w:val="en-GB"/>
        </w:rPr>
        <w:t>%</w:t>
      </w:r>
      <w:r w:rsidR="005C3A74" w:rsidRPr="009E0765">
        <w:rPr>
          <w:sz w:val="24"/>
          <w:szCs w:val="24"/>
          <w:lang w:val="en-GB"/>
        </w:rPr>
        <w:t xml:space="preserve">), </w:t>
      </w:r>
      <w:r w:rsidR="0012748E" w:rsidRPr="009E0765">
        <w:rPr>
          <w:sz w:val="24"/>
          <w:szCs w:val="24"/>
          <w:lang w:val="en-GB"/>
        </w:rPr>
        <w:t>Power</w:t>
      </w:r>
      <w:r w:rsidR="005C3A74" w:rsidRPr="009E0765">
        <w:rPr>
          <w:sz w:val="24"/>
          <w:szCs w:val="24"/>
          <w:lang w:val="en-GB"/>
        </w:rPr>
        <w:t xml:space="preserve"> (</w:t>
      </w:r>
      <w:r w:rsidR="0012748E" w:rsidRPr="009E0765">
        <w:rPr>
          <w:sz w:val="24"/>
          <w:szCs w:val="24"/>
          <w:lang w:val="en-GB"/>
        </w:rPr>
        <w:t>5.5</w:t>
      </w:r>
      <w:r w:rsidR="00946D13" w:rsidRPr="009E0765">
        <w:rPr>
          <w:sz w:val="24"/>
          <w:szCs w:val="24"/>
          <w:lang w:val="en-GB"/>
        </w:rPr>
        <w:t>%</w:t>
      </w:r>
      <w:r w:rsidR="005C3A74" w:rsidRPr="009E0765">
        <w:rPr>
          <w:sz w:val="24"/>
          <w:szCs w:val="24"/>
          <w:lang w:val="en-GB"/>
        </w:rPr>
        <w:t xml:space="preserve">) and </w:t>
      </w:r>
      <w:r w:rsidR="0012748E" w:rsidRPr="009E0765">
        <w:rPr>
          <w:sz w:val="24"/>
          <w:szCs w:val="24"/>
          <w:lang w:val="en-GB"/>
        </w:rPr>
        <w:t>Water Resources</w:t>
      </w:r>
      <w:r w:rsidR="005C3A74" w:rsidRPr="009E0765">
        <w:rPr>
          <w:sz w:val="24"/>
          <w:szCs w:val="24"/>
          <w:lang w:val="en-GB"/>
        </w:rPr>
        <w:t xml:space="preserve"> (</w:t>
      </w:r>
      <w:r w:rsidR="0012748E" w:rsidRPr="009E0765">
        <w:rPr>
          <w:sz w:val="24"/>
          <w:szCs w:val="24"/>
          <w:lang w:val="en-GB"/>
        </w:rPr>
        <w:t>4.2</w:t>
      </w:r>
      <w:r w:rsidR="00946D13" w:rsidRPr="009E0765">
        <w:rPr>
          <w:sz w:val="24"/>
          <w:szCs w:val="24"/>
          <w:lang w:val="en-GB"/>
        </w:rPr>
        <w:t>%</w:t>
      </w:r>
      <w:r w:rsidR="005C3A74" w:rsidRPr="009E0765">
        <w:rPr>
          <w:sz w:val="24"/>
          <w:szCs w:val="24"/>
          <w:lang w:val="en-GB"/>
        </w:rPr>
        <w:t xml:space="preserve">). </w:t>
      </w:r>
    </w:p>
    <w:p w:rsidR="00CA1A91" w:rsidRPr="009E0765" w:rsidRDefault="00CA1A91" w:rsidP="00634DD9">
      <w:pPr>
        <w:spacing w:after="0"/>
        <w:rPr>
          <w:sz w:val="24"/>
          <w:szCs w:val="24"/>
          <w:lang w:val="en-GB"/>
        </w:rPr>
      </w:pPr>
    </w:p>
    <w:p w:rsidR="00227485" w:rsidRPr="00ED584A" w:rsidRDefault="00227485" w:rsidP="00ED584A">
      <w:pPr>
        <w:rPr>
          <w:sz w:val="24"/>
          <w:szCs w:val="24"/>
        </w:rPr>
      </w:pPr>
      <w:r w:rsidRPr="00ED584A">
        <w:rPr>
          <w:b/>
          <w:sz w:val="24"/>
          <w:szCs w:val="24"/>
        </w:rPr>
        <w:t xml:space="preserve">The revenue shortages due to the Covid-19 pandemic has provided the right opportunity to embark on critical reforms. </w:t>
      </w:r>
      <w:r w:rsidRPr="00ED584A">
        <w:rPr>
          <w:sz w:val="24"/>
          <w:szCs w:val="24"/>
        </w:rPr>
        <w:t>President Buhari reiterat</w:t>
      </w:r>
      <w:r w:rsidR="00356BCA" w:rsidRPr="00ED584A">
        <w:rPr>
          <w:sz w:val="24"/>
          <w:szCs w:val="24"/>
        </w:rPr>
        <w:t>ed his commitment to the deregulation</w:t>
      </w:r>
      <w:r w:rsidRPr="00ED584A">
        <w:rPr>
          <w:sz w:val="24"/>
          <w:szCs w:val="24"/>
        </w:rPr>
        <w:t xml:space="preserve"> of the</w:t>
      </w:r>
      <w:r w:rsidR="00356BCA" w:rsidRPr="00ED584A">
        <w:rPr>
          <w:sz w:val="24"/>
          <w:szCs w:val="24"/>
        </w:rPr>
        <w:t xml:space="preserve"> downstream petroleum sector, leading to the discontinuation of th</w:t>
      </w:r>
      <w:r w:rsidR="00793F55" w:rsidRPr="00ED584A">
        <w:rPr>
          <w:sz w:val="24"/>
          <w:szCs w:val="24"/>
        </w:rPr>
        <w:t xml:space="preserve">e inefficient petrol subsidies and the implementation of </w:t>
      </w:r>
      <w:r w:rsidR="00A90B15">
        <w:rPr>
          <w:sz w:val="24"/>
          <w:szCs w:val="24"/>
        </w:rPr>
        <w:t>service-based</w:t>
      </w:r>
      <w:r w:rsidR="00793F55" w:rsidRPr="00ED584A">
        <w:rPr>
          <w:sz w:val="24"/>
          <w:szCs w:val="24"/>
        </w:rPr>
        <w:t xml:space="preserve"> electricity tariffs.</w:t>
      </w:r>
      <w:r w:rsidR="00793F55" w:rsidRPr="00ED584A">
        <w:rPr>
          <w:b/>
          <w:sz w:val="24"/>
          <w:szCs w:val="24"/>
        </w:rPr>
        <w:t xml:space="preserve"> </w:t>
      </w:r>
      <w:r w:rsidR="00F770F5" w:rsidRPr="00ED584A">
        <w:rPr>
          <w:sz w:val="24"/>
          <w:szCs w:val="24"/>
        </w:rPr>
        <w:t>According to the Government, t</w:t>
      </w:r>
      <w:r w:rsidR="00D046F1" w:rsidRPr="00ED584A">
        <w:rPr>
          <w:sz w:val="24"/>
          <w:szCs w:val="24"/>
        </w:rPr>
        <w:t xml:space="preserve">he </w:t>
      </w:r>
      <w:r w:rsidR="0022229C">
        <w:rPr>
          <w:sz w:val="24"/>
          <w:szCs w:val="24"/>
        </w:rPr>
        <w:t>funds that would have been used for the subsidy payments</w:t>
      </w:r>
      <w:r w:rsidR="00D046F1" w:rsidRPr="00ED584A">
        <w:rPr>
          <w:sz w:val="24"/>
          <w:szCs w:val="24"/>
        </w:rPr>
        <w:t xml:space="preserve"> will </w:t>
      </w:r>
      <w:r w:rsidR="0022229C">
        <w:rPr>
          <w:sz w:val="24"/>
          <w:szCs w:val="24"/>
        </w:rPr>
        <w:t xml:space="preserve">now </w:t>
      </w:r>
      <w:r w:rsidR="00D046F1" w:rsidRPr="00ED584A">
        <w:rPr>
          <w:sz w:val="24"/>
          <w:szCs w:val="24"/>
        </w:rPr>
        <w:t xml:space="preserve">be deployed to other </w:t>
      </w:r>
      <w:r w:rsidR="00F770F5" w:rsidRPr="00ED584A">
        <w:rPr>
          <w:sz w:val="24"/>
          <w:szCs w:val="24"/>
        </w:rPr>
        <w:t xml:space="preserve">priority </w:t>
      </w:r>
      <w:r w:rsidR="00D046F1" w:rsidRPr="00ED584A">
        <w:rPr>
          <w:sz w:val="24"/>
          <w:szCs w:val="24"/>
        </w:rPr>
        <w:t xml:space="preserve">sectors </w:t>
      </w:r>
      <w:r w:rsidR="00F248DB" w:rsidRPr="00ED584A">
        <w:rPr>
          <w:sz w:val="24"/>
          <w:szCs w:val="24"/>
        </w:rPr>
        <w:t xml:space="preserve">while social safety nets will be deployed through the </w:t>
      </w:r>
      <w:r w:rsidR="00E70DFE" w:rsidRPr="00ED584A">
        <w:rPr>
          <w:sz w:val="24"/>
          <w:szCs w:val="24"/>
        </w:rPr>
        <w:t xml:space="preserve">already existing </w:t>
      </w:r>
      <w:r w:rsidR="00F248DB" w:rsidRPr="00ED584A">
        <w:rPr>
          <w:sz w:val="24"/>
          <w:szCs w:val="24"/>
        </w:rPr>
        <w:t>Social Investment Programme. (SIP)</w:t>
      </w:r>
      <w:r w:rsidR="00F770F5" w:rsidRPr="00ED584A">
        <w:rPr>
          <w:b/>
          <w:sz w:val="24"/>
          <w:szCs w:val="24"/>
        </w:rPr>
        <w:t xml:space="preserve">. </w:t>
      </w:r>
      <w:r w:rsidR="00A81BF1" w:rsidRPr="00ED584A">
        <w:rPr>
          <w:sz w:val="24"/>
          <w:szCs w:val="24"/>
        </w:rPr>
        <w:t>T</w:t>
      </w:r>
      <w:r w:rsidR="00EC37F1" w:rsidRPr="00ED584A">
        <w:rPr>
          <w:sz w:val="24"/>
          <w:szCs w:val="24"/>
        </w:rPr>
        <w:t xml:space="preserve">he </w:t>
      </w:r>
      <w:r w:rsidR="00793F55" w:rsidRPr="00ED584A">
        <w:rPr>
          <w:sz w:val="24"/>
          <w:szCs w:val="24"/>
        </w:rPr>
        <w:t xml:space="preserve">reforms </w:t>
      </w:r>
      <w:r w:rsidR="00F770F5" w:rsidRPr="00ED584A">
        <w:rPr>
          <w:sz w:val="24"/>
          <w:szCs w:val="24"/>
        </w:rPr>
        <w:t xml:space="preserve">being undertaken </w:t>
      </w:r>
      <w:r w:rsidR="00D73A74" w:rsidRPr="00ED584A">
        <w:rPr>
          <w:sz w:val="24"/>
          <w:szCs w:val="24"/>
        </w:rPr>
        <w:t xml:space="preserve">reflect the views of the Presidential Economic Advisory Council and </w:t>
      </w:r>
      <w:r w:rsidR="00793F55" w:rsidRPr="00ED584A">
        <w:rPr>
          <w:sz w:val="24"/>
          <w:szCs w:val="24"/>
        </w:rPr>
        <w:t xml:space="preserve">despite the unpopularity </w:t>
      </w:r>
      <w:r w:rsidR="00D73A74" w:rsidRPr="00ED584A">
        <w:rPr>
          <w:sz w:val="24"/>
          <w:szCs w:val="24"/>
        </w:rPr>
        <w:t>of the policies</w:t>
      </w:r>
      <w:r w:rsidR="00F770F5" w:rsidRPr="00ED584A">
        <w:rPr>
          <w:sz w:val="24"/>
          <w:szCs w:val="24"/>
        </w:rPr>
        <w:t>,</w:t>
      </w:r>
      <w:r w:rsidR="00D73A74" w:rsidRPr="00ED584A">
        <w:rPr>
          <w:sz w:val="24"/>
          <w:szCs w:val="24"/>
        </w:rPr>
        <w:t xml:space="preserve"> </w:t>
      </w:r>
      <w:r w:rsidR="00793F55" w:rsidRPr="00ED584A">
        <w:rPr>
          <w:sz w:val="24"/>
          <w:szCs w:val="24"/>
        </w:rPr>
        <w:t>demonstrate</w:t>
      </w:r>
      <w:r w:rsidR="00D73A74" w:rsidRPr="00ED584A">
        <w:rPr>
          <w:sz w:val="24"/>
          <w:szCs w:val="24"/>
        </w:rPr>
        <w:t>s</w:t>
      </w:r>
      <w:r w:rsidR="00793F55" w:rsidRPr="00ED584A">
        <w:rPr>
          <w:sz w:val="24"/>
          <w:szCs w:val="24"/>
        </w:rPr>
        <w:t xml:space="preserve"> strong political will </w:t>
      </w:r>
      <w:r w:rsidR="00D73A74" w:rsidRPr="00ED584A">
        <w:rPr>
          <w:sz w:val="24"/>
          <w:szCs w:val="24"/>
        </w:rPr>
        <w:t xml:space="preserve">on the part of the President </w:t>
      </w:r>
      <w:r w:rsidR="00793F55" w:rsidRPr="00ED584A">
        <w:rPr>
          <w:sz w:val="24"/>
          <w:szCs w:val="24"/>
        </w:rPr>
        <w:t xml:space="preserve">to </w:t>
      </w:r>
      <w:r w:rsidR="00EC37F1" w:rsidRPr="00ED584A">
        <w:rPr>
          <w:sz w:val="24"/>
          <w:szCs w:val="24"/>
        </w:rPr>
        <w:t>reform.</w:t>
      </w:r>
      <w:r w:rsidR="00EC37F1" w:rsidRPr="00ED584A">
        <w:rPr>
          <w:b/>
          <w:sz w:val="24"/>
          <w:szCs w:val="24"/>
        </w:rPr>
        <w:t xml:space="preserve"> </w:t>
      </w:r>
      <w:r w:rsidR="00EC37F1" w:rsidRPr="00ED584A">
        <w:rPr>
          <w:sz w:val="24"/>
          <w:szCs w:val="24"/>
          <w:lang w:val="en-GB"/>
        </w:rPr>
        <w:t xml:space="preserve">President Buhari </w:t>
      </w:r>
      <w:r w:rsidR="00793F55" w:rsidRPr="00ED584A">
        <w:rPr>
          <w:sz w:val="24"/>
          <w:szCs w:val="24"/>
          <w:lang w:val="en-GB"/>
        </w:rPr>
        <w:t xml:space="preserve">also submitted the Petroleum Industry Bill (PIB) to the National Assembly for consideration. The bill seeks to provide the legal certainty required to attract investments into the </w:t>
      </w:r>
      <w:r w:rsidR="00EC37F1" w:rsidRPr="00ED584A">
        <w:rPr>
          <w:sz w:val="24"/>
          <w:szCs w:val="24"/>
          <w:lang w:val="en-GB"/>
        </w:rPr>
        <w:t xml:space="preserve">oil and gas </w:t>
      </w:r>
      <w:r w:rsidR="00793F55" w:rsidRPr="00ED584A">
        <w:rPr>
          <w:sz w:val="24"/>
          <w:szCs w:val="24"/>
          <w:lang w:val="en-GB"/>
        </w:rPr>
        <w:t xml:space="preserve">sector. </w:t>
      </w:r>
      <w:r w:rsidR="00E1397E" w:rsidRPr="00ED584A">
        <w:rPr>
          <w:sz w:val="24"/>
          <w:szCs w:val="24"/>
          <w:lang w:val="en-GB"/>
        </w:rPr>
        <w:t>R</w:t>
      </w:r>
      <w:r w:rsidR="00793F55" w:rsidRPr="00ED584A">
        <w:rPr>
          <w:sz w:val="24"/>
          <w:szCs w:val="24"/>
          <w:lang w:val="en-GB"/>
        </w:rPr>
        <w:t xml:space="preserve">eforms </w:t>
      </w:r>
      <w:r w:rsidR="00E1397E" w:rsidRPr="00ED584A">
        <w:rPr>
          <w:sz w:val="24"/>
          <w:szCs w:val="24"/>
          <w:lang w:val="en-GB"/>
        </w:rPr>
        <w:t xml:space="preserve">are needed </w:t>
      </w:r>
      <w:r w:rsidR="00793F55" w:rsidRPr="00ED584A">
        <w:rPr>
          <w:sz w:val="24"/>
          <w:szCs w:val="24"/>
          <w:lang w:val="en-GB"/>
        </w:rPr>
        <w:t xml:space="preserve">to bring new production volumes on stream and the absence of complaints from the International Oil Companies (IOCs) could imply that the new PIB meets the aspirations of all parties concerned. </w:t>
      </w:r>
      <w:r w:rsidRPr="00ED584A">
        <w:rPr>
          <w:sz w:val="24"/>
          <w:szCs w:val="24"/>
        </w:rPr>
        <w:t xml:space="preserve"> </w:t>
      </w:r>
    </w:p>
    <w:p w:rsidR="00CB3660" w:rsidRPr="009E0765" w:rsidRDefault="00CB3660" w:rsidP="009E0765">
      <w:pPr>
        <w:spacing w:after="0"/>
        <w:rPr>
          <w:sz w:val="24"/>
          <w:szCs w:val="24"/>
        </w:rPr>
      </w:pPr>
    </w:p>
    <w:p w:rsidR="00CB3660" w:rsidRPr="00ED584A" w:rsidRDefault="003C605A" w:rsidP="00ED584A">
      <w:pPr>
        <w:spacing w:after="0"/>
        <w:rPr>
          <w:sz w:val="24"/>
          <w:szCs w:val="24"/>
        </w:rPr>
      </w:pPr>
      <w:r w:rsidRPr="00ED584A">
        <w:rPr>
          <w:b/>
          <w:sz w:val="24"/>
          <w:szCs w:val="24"/>
        </w:rPr>
        <w:t xml:space="preserve">The 2021 budget </w:t>
      </w:r>
      <w:r w:rsidR="00A33230" w:rsidRPr="00ED584A">
        <w:rPr>
          <w:b/>
          <w:sz w:val="24"/>
          <w:szCs w:val="24"/>
        </w:rPr>
        <w:t>focuses on some critical infrastructure projects.</w:t>
      </w:r>
      <w:r w:rsidR="00A33230" w:rsidRPr="00ED584A">
        <w:rPr>
          <w:sz w:val="24"/>
          <w:szCs w:val="24"/>
        </w:rPr>
        <w:t xml:space="preserve"> These include several power projects</w:t>
      </w:r>
      <w:r w:rsidR="0040467F" w:rsidRPr="00ED584A">
        <w:rPr>
          <w:sz w:val="24"/>
          <w:szCs w:val="24"/>
        </w:rPr>
        <w:t>,</w:t>
      </w:r>
      <w:r w:rsidR="00A33230" w:rsidRPr="00ED584A">
        <w:rPr>
          <w:sz w:val="24"/>
          <w:szCs w:val="24"/>
        </w:rPr>
        <w:t xml:space="preserve"> including funding for the </w:t>
      </w:r>
      <w:r w:rsidR="008E7E71" w:rsidRPr="00ED584A">
        <w:rPr>
          <w:sz w:val="24"/>
          <w:szCs w:val="24"/>
        </w:rPr>
        <w:t>P</w:t>
      </w:r>
      <w:r w:rsidR="00A33230" w:rsidRPr="00ED584A">
        <w:rPr>
          <w:sz w:val="24"/>
          <w:szCs w:val="24"/>
        </w:rPr>
        <w:t xml:space="preserve">ower </w:t>
      </w:r>
      <w:r w:rsidR="008E7E71" w:rsidRPr="00ED584A">
        <w:rPr>
          <w:sz w:val="24"/>
          <w:szCs w:val="24"/>
        </w:rPr>
        <w:t>S</w:t>
      </w:r>
      <w:r w:rsidR="00A33230" w:rsidRPr="00ED584A">
        <w:rPr>
          <w:sz w:val="24"/>
          <w:szCs w:val="24"/>
        </w:rPr>
        <w:t xml:space="preserve">ector </w:t>
      </w:r>
      <w:r w:rsidR="008E7E71" w:rsidRPr="00ED584A">
        <w:rPr>
          <w:sz w:val="24"/>
          <w:szCs w:val="24"/>
        </w:rPr>
        <w:t>R</w:t>
      </w:r>
      <w:r w:rsidR="00A33230" w:rsidRPr="00ED584A">
        <w:rPr>
          <w:sz w:val="24"/>
          <w:szCs w:val="24"/>
        </w:rPr>
        <w:t xml:space="preserve">ecovery </w:t>
      </w:r>
      <w:r w:rsidR="008E7E71" w:rsidRPr="00ED584A">
        <w:rPr>
          <w:sz w:val="24"/>
          <w:szCs w:val="24"/>
        </w:rPr>
        <w:t>P</w:t>
      </w:r>
      <w:r w:rsidR="00A33230" w:rsidRPr="00ED584A">
        <w:rPr>
          <w:sz w:val="24"/>
          <w:szCs w:val="24"/>
        </w:rPr>
        <w:t xml:space="preserve">lan, counterpart funding for several ongoing Chinese-funded railway projects, construction of new health facilities across the geo-political zones to address the dilapidated health facilities and several water projects. </w:t>
      </w:r>
      <w:r w:rsidR="008E7E71" w:rsidRPr="00ED584A">
        <w:rPr>
          <w:sz w:val="24"/>
          <w:szCs w:val="24"/>
        </w:rPr>
        <w:t>It is commendable that the emphasis is on completion of ongoing projects</w:t>
      </w:r>
      <w:r w:rsidR="00883DED" w:rsidRPr="00ED584A">
        <w:rPr>
          <w:sz w:val="24"/>
          <w:szCs w:val="24"/>
        </w:rPr>
        <w:t xml:space="preserve">. </w:t>
      </w:r>
    </w:p>
    <w:p w:rsidR="00B41869" w:rsidRPr="009E0765" w:rsidRDefault="00B41869" w:rsidP="00CA1A91">
      <w:pPr>
        <w:rPr>
          <w:b/>
          <w:sz w:val="24"/>
          <w:szCs w:val="24"/>
        </w:rPr>
      </w:pPr>
    </w:p>
    <w:p w:rsidR="00CA1A91" w:rsidRPr="009E0765" w:rsidRDefault="00CA1A91" w:rsidP="00CA1A91">
      <w:pPr>
        <w:rPr>
          <w:sz w:val="24"/>
          <w:szCs w:val="24"/>
        </w:rPr>
      </w:pPr>
    </w:p>
    <w:p w:rsidR="00CA1A91" w:rsidRPr="009E0765" w:rsidRDefault="00CA1A91" w:rsidP="00CA1A91">
      <w:pPr>
        <w:spacing w:after="0"/>
        <w:jc w:val="center"/>
        <w:rPr>
          <w:sz w:val="24"/>
          <w:szCs w:val="24"/>
        </w:rPr>
      </w:pPr>
    </w:p>
    <w:sectPr w:rsidR="00CA1A91" w:rsidRPr="009E0765" w:rsidSect="00CB504A">
      <w:footerReference w:type="default" r:id="rId8"/>
      <w:pgSz w:w="11906" w:h="16838"/>
      <w:pgMar w:top="1077" w:right="1134" w:bottom="1077" w:left="1134" w:header="709" w:footer="10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92C" w:rsidRDefault="00BA092C" w:rsidP="00FD5A2E">
      <w:pPr>
        <w:spacing w:after="0"/>
      </w:pPr>
      <w:r>
        <w:separator/>
      </w:r>
    </w:p>
  </w:endnote>
  <w:endnote w:type="continuationSeparator" w:id="0">
    <w:p w:rsidR="00BA092C" w:rsidRDefault="00BA092C" w:rsidP="00FD5A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340447"/>
      <w:docPartObj>
        <w:docPartGallery w:val="Page Numbers (Bottom of Page)"/>
        <w:docPartUnique/>
      </w:docPartObj>
    </w:sdtPr>
    <w:sdtEndPr/>
    <w:sdtContent>
      <w:p w:rsidR="00592649" w:rsidRDefault="00592649">
        <w:pPr>
          <w:pStyle w:val="Footer"/>
          <w:jc w:val="center"/>
        </w:pPr>
        <w:r>
          <w:fldChar w:fldCharType="begin"/>
        </w:r>
        <w:r>
          <w:instrText>PAGE   \* MERGEFORMAT</w:instrText>
        </w:r>
        <w:r>
          <w:fldChar w:fldCharType="separate"/>
        </w:r>
        <w:r w:rsidR="006712C0" w:rsidRPr="006712C0">
          <w:rPr>
            <w:noProof/>
            <w:lang w:val="da-DK"/>
          </w:rPr>
          <w:t>2</w:t>
        </w:r>
        <w:r>
          <w:fldChar w:fldCharType="end"/>
        </w:r>
      </w:p>
    </w:sdtContent>
  </w:sdt>
  <w:p w:rsidR="00592649" w:rsidRDefault="00592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92C" w:rsidRDefault="00BA092C" w:rsidP="00FD5A2E">
      <w:pPr>
        <w:spacing w:after="0"/>
      </w:pPr>
      <w:r>
        <w:separator/>
      </w:r>
    </w:p>
  </w:footnote>
  <w:footnote w:type="continuationSeparator" w:id="0">
    <w:p w:rsidR="00BA092C" w:rsidRDefault="00BA092C" w:rsidP="00FD5A2E">
      <w:pPr>
        <w:spacing w:after="0"/>
      </w:pPr>
      <w:r>
        <w:continuationSeparator/>
      </w:r>
    </w:p>
  </w:footnote>
  <w:footnote w:id="1">
    <w:p w:rsidR="0014206B" w:rsidRDefault="0014206B">
      <w:pPr>
        <w:pStyle w:val="FootnoteText"/>
      </w:pPr>
      <w:r>
        <w:rPr>
          <w:rStyle w:val="FootnoteReference"/>
        </w:rPr>
        <w:footnoteRef/>
      </w:r>
      <w:r>
        <w:t xml:space="preserve"> In addition to the official and spot market rate, there is also an informal exchange </w:t>
      </w:r>
      <w:r w:rsidR="003E002B">
        <w:t>rate, which</w:t>
      </w:r>
      <w:r w:rsidR="00F54409">
        <w:t xml:space="preserve"> </w:t>
      </w:r>
      <w:r w:rsidR="003E002B">
        <w:t xml:space="preserve">gives a value of </w:t>
      </w:r>
      <w:r w:rsidR="00F54409">
        <w:t xml:space="preserve">around 25% </w:t>
      </w:r>
      <w:r w:rsidR="003E002B">
        <w:t>less in local currency</w:t>
      </w:r>
      <w:r w:rsidR="00CA4956">
        <w:t xml:space="preserve"> terms</w:t>
      </w:r>
      <w:r w:rsidR="003E002B">
        <w:t xml:space="preserve">. </w:t>
      </w:r>
      <w:r w:rsidR="00CA4956">
        <w:t>However, f</w:t>
      </w:r>
      <w:r w:rsidR="003E002B">
        <w:t>or the purpose of this report</w:t>
      </w:r>
      <w:r w:rsidR="00CA4956">
        <w:t>,</w:t>
      </w:r>
      <w:r w:rsidR="003E002B">
        <w:t xml:space="preserve"> the official rate is used</w:t>
      </w:r>
      <w:r w:rsidR="00CA4956">
        <w:t xml:space="preserve"> for conversion.</w:t>
      </w:r>
      <w:r w:rsidR="003E002B">
        <w:t xml:space="preserve">  </w:t>
      </w:r>
    </w:p>
  </w:footnote>
  <w:footnote w:id="2">
    <w:p w:rsidR="000637ED" w:rsidRDefault="000637ED">
      <w:pPr>
        <w:pStyle w:val="FootnoteText"/>
      </w:pPr>
      <w:r>
        <w:rPr>
          <w:rStyle w:val="FootnoteReference"/>
        </w:rPr>
        <w:footnoteRef/>
      </w:r>
      <w:r>
        <w:t xml:space="preserve"> There is a discrepancy in the figure in the budget document (N3.60tn) and the President’s speech (N3.85tn). This will be clarified when the Minister of Finance, Budget and National Planning makes the public presentation of the budget.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13FA"/>
    <w:multiLevelType w:val="hybridMultilevel"/>
    <w:tmpl w:val="43A22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5CDE"/>
    <w:multiLevelType w:val="hybridMultilevel"/>
    <w:tmpl w:val="FA5A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32708"/>
    <w:multiLevelType w:val="hybridMultilevel"/>
    <w:tmpl w:val="21C266BA"/>
    <w:lvl w:ilvl="0" w:tplc="2BD29C7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4B210A"/>
    <w:multiLevelType w:val="hybridMultilevel"/>
    <w:tmpl w:val="DCDA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764A"/>
    <w:multiLevelType w:val="hybridMultilevel"/>
    <w:tmpl w:val="A57C396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0127CFE"/>
    <w:multiLevelType w:val="hybridMultilevel"/>
    <w:tmpl w:val="FE8262E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D46C9D"/>
    <w:multiLevelType w:val="hybridMultilevel"/>
    <w:tmpl w:val="DFE26C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47E607C"/>
    <w:multiLevelType w:val="hybridMultilevel"/>
    <w:tmpl w:val="9E1C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27426"/>
    <w:multiLevelType w:val="hybridMultilevel"/>
    <w:tmpl w:val="C0A0323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48DE235D"/>
    <w:multiLevelType w:val="hybridMultilevel"/>
    <w:tmpl w:val="EC46C3E8"/>
    <w:lvl w:ilvl="0" w:tplc="0406000F">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5FC60842"/>
    <w:multiLevelType w:val="hybridMultilevel"/>
    <w:tmpl w:val="CBAE73A0"/>
    <w:lvl w:ilvl="0" w:tplc="B14E6DD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6B37632F"/>
    <w:multiLevelType w:val="hybridMultilevel"/>
    <w:tmpl w:val="CB9E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0910B9"/>
    <w:multiLevelType w:val="hybridMultilevel"/>
    <w:tmpl w:val="18FCF2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74B9246C"/>
    <w:multiLevelType w:val="hybridMultilevel"/>
    <w:tmpl w:val="9BCA1CC6"/>
    <w:lvl w:ilvl="0" w:tplc="24A05CD8">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AC244B0"/>
    <w:multiLevelType w:val="hybridMultilevel"/>
    <w:tmpl w:val="A40CE3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6"/>
  </w:num>
  <w:num w:numId="5">
    <w:abstractNumId w:val="12"/>
  </w:num>
  <w:num w:numId="6">
    <w:abstractNumId w:val="9"/>
  </w:num>
  <w:num w:numId="7">
    <w:abstractNumId w:val="13"/>
  </w:num>
  <w:num w:numId="8">
    <w:abstractNumId w:val="10"/>
  </w:num>
  <w:num w:numId="9">
    <w:abstractNumId w:val="5"/>
  </w:num>
  <w:num w:numId="10">
    <w:abstractNumId w:val="1"/>
  </w:num>
  <w:num w:numId="11">
    <w:abstractNumId w:val="3"/>
  </w:num>
  <w:num w:numId="12">
    <w:abstractNumId w:val="7"/>
  </w:num>
  <w:num w:numId="13">
    <w:abstractNumId w:val="11"/>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77882"/>
    <w:rsid w:val="00003400"/>
    <w:rsid w:val="0000354D"/>
    <w:rsid w:val="00005951"/>
    <w:rsid w:val="0001146A"/>
    <w:rsid w:val="00013722"/>
    <w:rsid w:val="000148C8"/>
    <w:rsid w:val="000231B1"/>
    <w:rsid w:val="00024075"/>
    <w:rsid w:val="00024BF3"/>
    <w:rsid w:val="00024EF1"/>
    <w:rsid w:val="00025F66"/>
    <w:rsid w:val="0003406F"/>
    <w:rsid w:val="00036E25"/>
    <w:rsid w:val="0003784B"/>
    <w:rsid w:val="00041025"/>
    <w:rsid w:val="00054D49"/>
    <w:rsid w:val="00062F82"/>
    <w:rsid w:val="000637ED"/>
    <w:rsid w:val="00066010"/>
    <w:rsid w:val="00070116"/>
    <w:rsid w:val="000778A5"/>
    <w:rsid w:val="000870E6"/>
    <w:rsid w:val="00090EFC"/>
    <w:rsid w:val="000A1603"/>
    <w:rsid w:val="000A1A9A"/>
    <w:rsid w:val="000A4031"/>
    <w:rsid w:val="000A58DC"/>
    <w:rsid w:val="000A7E09"/>
    <w:rsid w:val="000B061C"/>
    <w:rsid w:val="000B12EA"/>
    <w:rsid w:val="000B29DB"/>
    <w:rsid w:val="000B2F4D"/>
    <w:rsid w:val="000B3472"/>
    <w:rsid w:val="000C4075"/>
    <w:rsid w:val="000D18CD"/>
    <w:rsid w:val="000D475C"/>
    <w:rsid w:val="000E2F88"/>
    <w:rsid w:val="000E6AAA"/>
    <w:rsid w:val="000E7478"/>
    <w:rsid w:val="001059EC"/>
    <w:rsid w:val="0011397D"/>
    <w:rsid w:val="00115C5F"/>
    <w:rsid w:val="0012748E"/>
    <w:rsid w:val="001335CE"/>
    <w:rsid w:val="00135BF4"/>
    <w:rsid w:val="0014206B"/>
    <w:rsid w:val="00142177"/>
    <w:rsid w:val="00143769"/>
    <w:rsid w:val="00145804"/>
    <w:rsid w:val="00156B50"/>
    <w:rsid w:val="001574AF"/>
    <w:rsid w:val="0016190E"/>
    <w:rsid w:val="0016662D"/>
    <w:rsid w:val="00170D01"/>
    <w:rsid w:val="00175E3D"/>
    <w:rsid w:val="0018175A"/>
    <w:rsid w:val="001849CA"/>
    <w:rsid w:val="001859CF"/>
    <w:rsid w:val="0019062E"/>
    <w:rsid w:val="001961B0"/>
    <w:rsid w:val="001A1469"/>
    <w:rsid w:val="001A288E"/>
    <w:rsid w:val="001A3573"/>
    <w:rsid w:val="001A5D6F"/>
    <w:rsid w:val="001B6620"/>
    <w:rsid w:val="001C55F1"/>
    <w:rsid w:val="001D5178"/>
    <w:rsid w:val="001D5231"/>
    <w:rsid w:val="00200B55"/>
    <w:rsid w:val="002010EE"/>
    <w:rsid w:val="00203E2B"/>
    <w:rsid w:val="002052DF"/>
    <w:rsid w:val="00210D96"/>
    <w:rsid w:val="002119DB"/>
    <w:rsid w:val="0021441A"/>
    <w:rsid w:val="0022229C"/>
    <w:rsid w:val="00227485"/>
    <w:rsid w:val="00231CB6"/>
    <w:rsid w:val="00234902"/>
    <w:rsid w:val="00237B49"/>
    <w:rsid w:val="0024644F"/>
    <w:rsid w:val="002529A2"/>
    <w:rsid w:val="00256451"/>
    <w:rsid w:val="00262436"/>
    <w:rsid w:val="00266502"/>
    <w:rsid w:val="0026782A"/>
    <w:rsid w:val="00281728"/>
    <w:rsid w:val="002836F6"/>
    <w:rsid w:val="00287333"/>
    <w:rsid w:val="002922F3"/>
    <w:rsid w:val="00295CDD"/>
    <w:rsid w:val="00297DFF"/>
    <w:rsid w:val="002A4EC9"/>
    <w:rsid w:val="002A6789"/>
    <w:rsid w:val="002B4C38"/>
    <w:rsid w:val="002B57C7"/>
    <w:rsid w:val="002D1A50"/>
    <w:rsid w:val="002D25E5"/>
    <w:rsid w:val="002D563C"/>
    <w:rsid w:val="002E68DB"/>
    <w:rsid w:val="002F12CF"/>
    <w:rsid w:val="002F7157"/>
    <w:rsid w:val="003011E3"/>
    <w:rsid w:val="003039AD"/>
    <w:rsid w:val="00311CA1"/>
    <w:rsid w:val="00313ED3"/>
    <w:rsid w:val="00317913"/>
    <w:rsid w:val="003473EA"/>
    <w:rsid w:val="003539B9"/>
    <w:rsid w:val="0035502A"/>
    <w:rsid w:val="00356BCA"/>
    <w:rsid w:val="00365191"/>
    <w:rsid w:val="00366C5F"/>
    <w:rsid w:val="00370835"/>
    <w:rsid w:val="00370A99"/>
    <w:rsid w:val="003750A4"/>
    <w:rsid w:val="00381107"/>
    <w:rsid w:val="00395873"/>
    <w:rsid w:val="003A0B1D"/>
    <w:rsid w:val="003B5176"/>
    <w:rsid w:val="003B7787"/>
    <w:rsid w:val="003C1A57"/>
    <w:rsid w:val="003C605A"/>
    <w:rsid w:val="003C7056"/>
    <w:rsid w:val="003D0E64"/>
    <w:rsid w:val="003E002B"/>
    <w:rsid w:val="003F13E3"/>
    <w:rsid w:val="003F2C2F"/>
    <w:rsid w:val="003F622C"/>
    <w:rsid w:val="004004FD"/>
    <w:rsid w:val="0040467F"/>
    <w:rsid w:val="004046DD"/>
    <w:rsid w:val="00417F55"/>
    <w:rsid w:val="0042048A"/>
    <w:rsid w:val="00422D85"/>
    <w:rsid w:val="00426667"/>
    <w:rsid w:val="004653AD"/>
    <w:rsid w:val="004753A2"/>
    <w:rsid w:val="00483328"/>
    <w:rsid w:val="004841A8"/>
    <w:rsid w:val="004907B7"/>
    <w:rsid w:val="004967FD"/>
    <w:rsid w:val="004A117D"/>
    <w:rsid w:val="004A6338"/>
    <w:rsid w:val="004B7117"/>
    <w:rsid w:val="004C493E"/>
    <w:rsid w:val="004C4EDF"/>
    <w:rsid w:val="004C6C66"/>
    <w:rsid w:val="004D2863"/>
    <w:rsid w:val="004D482B"/>
    <w:rsid w:val="004D6942"/>
    <w:rsid w:val="004F0666"/>
    <w:rsid w:val="005036B8"/>
    <w:rsid w:val="00504FAA"/>
    <w:rsid w:val="00515FB0"/>
    <w:rsid w:val="005270E8"/>
    <w:rsid w:val="005337DA"/>
    <w:rsid w:val="00535679"/>
    <w:rsid w:val="00556C68"/>
    <w:rsid w:val="00560711"/>
    <w:rsid w:val="00560D2E"/>
    <w:rsid w:val="00574EA5"/>
    <w:rsid w:val="005752AA"/>
    <w:rsid w:val="00592649"/>
    <w:rsid w:val="00595CD5"/>
    <w:rsid w:val="005C0CD0"/>
    <w:rsid w:val="005C3A74"/>
    <w:rsid w:val="005D09A8"/>
    <w:rsid w:val="005D4AB7"/>
    <w:rsid w:val="005E0801"/>
    <w:rsid w:val="005E205E"/>
    <w:rsid w:val="005E22A5"/>
    <w:rsid w:val="005E4ED1"/>
    <w:rsid w:val="005E53AE"/>
    <w:rsid w:val="005F70FD"/>
    <w:rsid w:val="005F7311"/>
    <w:rsid w:val="00600C02"/>
    <w:rsid w:val="00601DEB"/>
    <w:rsid w:val="006114ED"/>
    <w:rsid w:val="00614E09"/>
    <w:rsid w:val="006160DE"/>
    <w:rsid w:val="00620354"/>
    <w:rsid w:val="006265B6"/>
    <w:rsid w:val="006303B4"/>
    <w:rsid w:val="00633B93"/>
    <w:rsid w:val="00634DD9"/>
    <w:rsid w:val="00636E5E"/>
    <w:rsid w:val="006379E5"/>
    <w:rsid w:val="00640B4E"/>
    <w:rsid w:val="00642FEF"/>
    <w:rsid w:val="00660FC2"/>
    <w:rsid w:val="00666034"/>
    <w:rsid w:val="006712C0"/>
    <w:rsid w:val="00674AC2"/>
    <w:rsid w:val="006846E2"/>
    <w:rsid w:val="00691844"/>
    <w:rsid w:val="00693BFC"/>
    <w:rsid w:val="00695EFD"/>
    <w:rsid w:val="006A04E6"/>
    <w:rsid w:val="006B3D10"/>
    <w:rsid w:val="006B63DF"/>
    <w:rsid w:val="006C2A32"/>
    <w:rsid w:val="006C3633"/>
    <w:rsid w:val="006C45BC"/>
    <w:rsid w:val="006D0D9A"/>
    <w:rsid w:val="006E494D"/>
    <w:rsid w:val="006E799F"/>
    <w:rsid w:val="00702D8C"/>
    <w:rsid w:val="007031C1"/>
    <w:rsid w:val="00704286"/>
    <w:rsid w:val="007134F2"/>
    <w:rsid w:val="00715A20"/>
    <w:rsid w:val="007169FD"/>
    <w:rsid w:val="00722BCE"/>
    <w:rsid w:val="00723D29"/>
    <w:rsid w:val="007274D7"/>
    <w:rsid w:val="0073235B"/>
    <w:rsid w:val="00732C11"/>
    <w:rsid w:val="00736632"/>
    <w:rsid w:val="007371FA"/>
    <w:rsid w:val="00737B51"/>
    <w:rsid w:val="00742EB5"/>
    <w:rsid w:val="00761047"/>
    <w:rsid w:val="00766F7D"/>
    <w:rsid w:val="00767574"/>
    <w:rsid w:val="007777B2"/>
    <w:rsid w:val="007869B6"/>
    <w:rsid w:val="00793F55"/>
    <w:rsid w:val="007A0E6D"/>
    <w:rsid w:val="007A2850"/>
    <w:rsid w:val="007B0F93"/>
    <w:rsid w:val="007C3347"/>
    <w:rsid w:val="007C5FB4"/>
    <w:rsid w:val="007D2FEB"/>
    <w:rsid w:val="007D4364"/>
    <w:rsid w:val="007E3B5B"/>
    <w:rsid w:val="007E6A20"/>
    <w:rsid w:val="007F084A"/>
    <w:rsid w:val="007F23CB"/>
    <w:rsid w:val="007F4CE6"/>
    <w:rsid w:val="007F54D3"/>
    <w:rsid w:val="007F69ED"/>
    <w:rsid w:val="00802F1D"/>
    <w:rsid w:val="008048FE"/>
    <w:rsid w:val="00813639"/>
    <w:rsid w:val="00823452"/>
    <w:rsid w:val="00827765"/>
    <w:rsid w:val="0083298D"/>
    <w:rsid w:val="00835872"/>
    <w:rsid w:val="00851C8A"/>
    <w:rsid w:val="00856BDC"/>
    <w:rsid w:val="00861280"/>
    <w:rsid w:val="008764A9"/>
    <w:rsid w:val="00877E5B"/>
    <w:rsid w:val="00880BDD"/>
    <w:rsid w:val="00881FBD"/>
    <w:rsid w:val="00883DED"/>
    <w:rsid w:val="00892A79"/>
    <w:rsid w:val="0089425A"/>
    <w:rsid w:val="00896E08"/>
    <w:rsid w:val="00897A48"/>
    <w:rsid w:val="008A390D"/>
    <w:rsid w:val="008A3EE8"/>
    <w:rsid w:val="008A515B"/>
    <w:rsid w:val="008A6166"/>
    <w:rsid w:val="008B4C4C"/>
    <w:rsid w:val="008C321F"/>
    <w:rsid w:val="008C333A"/>
    <w:rsid w:val="008D0268"/>
    <w:rsid w:val="008D410B"/>
    <w:rsid w:val="008D493D"/>
    <w:rsid w:val="008D6881"/>
    <w:rsid w:val="008E1F0B"/>
    <w:rsid w:val="008E38A5"/>
    <w:rsid w:val="008E7E71"/>
    <w:rsid w:val="008F350E"/>
    <w:rsid w:val="008F49FA"/>
    <w:rsid w:val="0090663A"/>
    <w:rsid w:val="009101F9"/>
    <w:rsid w:val="00913273"/>
    <w:rsid w:val="00921270"/>
    <w:rsid w:val="009237A7"/>
    <w:rsid w:val="00925109"/>
    <w:rsid w:val="009309A0"/>
    <w:rsid w:val="009411CB"/>
    <w:rsid w:val="009423F7"/>
    <w:rsid w:val="00945F60"/>
    <w:rsid w:val="0094687B"/>
    <w:rsid w:val="00946D13"/>
    <w:rsid w:val="009576FE"/>
    <w:rsid w:val="00961F58"/>
    <w:rsid w:val="00964D91"/>
    <w:rsid w:val="00966A9E"/>
    <w:rsid w:val="00966D04"/>
    <w:rsid w:val="00971CA0"/>
    <w:rsid w:val="00975341"/>
    <w:rsid w:val="00977882"/>
    <w:rsid w:val="00993196"/>
    <w:rsid w:val="00993762"/>
    <w:rsid w:val="0099762A"/>
    <w:rsid w:val="009A0B5F"/>
    <w:rsid w:val="009C0B4F"/>
    <w:rsid w:val="009C5C9B"/>
    <w:rsid w:val="009C6A36"/>
    <w:rsid w:val="009D18C7"/>
    <w:rsid w:val="009D215C"/>
    <w:rsid w:val="009D50E1"/>
    <w:rsid w:val="009E0765"/>
    <w:rsid w:val="009E634F"/>
    <w:rsid w:val="009E7A46"/>
    <w:rsid w:val="009F6214"/>
    <w:rsid w:val="009F76E5"/>
    <w:rsid w:val="00A0599B"/>
    <w:rsid w:val="00A07A08"/>
    <w:rsid w:val="00A14F8C"/>
    <w:rsid w:val="00A224D5"/>
    <w:rsid w:val="00A263E8"/>
    <w:rsid w:val="00A3112C"/>
    <w:rsid w:val="00A33230"/>
    <w:rsid w:val="00A40CAD"/>
    <w:rsid w:val="00A435A2"/>
    <w:rsid w:val="00A442ED"/>
    <w:rsid w:val="00A45249"/>
    <w:rsid w:val="00A53070"/>
    <w:rsid w:val="00A536F0"/>
    <w:rsid w:val="00A56676"/>
    <w:rsid w:val="00A57313"/>
    <w:rsid w:val="00A70F97"/>
    <w:rsid w:val="00A71990"/>
    <w:rsid w:val="00A7283F"/>
    <w:rsid w:val="00A73FF3"/>
    <w:rsid w:val="00A77EF3"/>
    <w:rsid w:val="00A81BF1"/>
    <w:rsid w:val="00A830C0"/>
    <w:rsid w:val="00A90B15"/>
    <w:rsid w:val="00A920D3"/>
    <w:rsid w:val="00A9288A"/>
    <w:rsid w:val="00AA358F"/>
    <w:rsid w:val="00AA472B"/>
    <w:rsid w:val="00AA5F49"/>
    <w:rsid w:val="00AB1852"/>
    <w:rsid w:val="00AB3B98"/>
    <w:rsid w:val="00AD0761"/>
    <w:rsid w:val="00AD0908"/>
    <w:rsid w:val="00AD2CE7"/>
    <w:rsid w:val="00AD71A2"/>
    <w:rsid w:val="00AE106E"/>
    <w:rsid w:val="00AE3C17"/>
    <w:rsid w:val="00AE59BF"/>
    <w:rsid w:val="00B009A9"/>
    <w:rsid w:val="00B07524"/>
    <w:rsid w:val="00B10A0B"/>
    <w:rsid w:val="00B1647A"/>
    <w:rsid w:val="00B20B71"/>
    <w:rsid w:val="00B21F64"/>
    <w:rsid w:val="00B24555"/>
    <w:rsid w:val="00B41869"/>
    <w:rsid w:val="00B41C45"/>
    <w:rsid w:val="00B42B1C"/>
    <w:rsid w:val="00B47CC5"/>
    <w:rsid w:val="00B5599A"/>
    <w:rsid w:val="00B66A9B"/>
    <w:rsid w:val="00B67365"/>
    <w:rsid w:val="00B72AE9"/>
    <w:rsid w:val="00B83FE9"/>
    <w:rsid w:val="00B87B41"/>
    <w:rsid w:val="00B938CC"/>
    <w:rsid w:val="00BA092C"/>
    <w:rsid w:val="00BA5248"/>
    <w:rsid w:val="00BA6542"/>
    <w:rsid w:val="00BB0054"/>
    <w:rsid w:val="00BB1855"/>
    <w:rsid w:val="00BC0079"/>
    <w:rsid w:val="00BC0EAE"/>
    <w:rsid w:val="00BD4F98"/>
    <w:rsid w:val="00BE1BDD"/>
    <w:rsid w:val="00BE6CDB"/>
    <w:rsid w:val="00BE7F5A"/>
    <w:rsid w:val="00BF0109"/>
    <w:rsid w:val="00C135D6"/>
    <w:rsid w:val="00C20368"/>
    <w:rsid w:val="00C23ACF"/>
    <w:rsid w:val="00C245CB"/>
    <w:rsid w:val="00C24BC1"/>
    <w:rsid w:val="00C315C2"/>
    <w:rsid w:val="00C32B0F"/>
    <w:rsid w:val="00C45698"/>
    <w:rsid w:val="00C46FDA"/>
    <w:rsid w:val="00C53790"/>
    <w:rsid w:val="00C53AD4"/>
    <w:rsid w:val="00C56F8E"/>
    <w:rsid w:val="00C60386"/>
    <w:rsid w:val="00C71A0E"/>
    <w:rsid w:val="00C87891"/>
    <w:rsid w:val="00C9638C"/>
    <w:rsid w:val="00CA1A91"/>
    <w:rsid w:val="00CA4956"/>
    <w:rsid w:val="00CA5391"/>
    <w:rsid w:val="00CB2049"/>
    <w:rsid w:val="00CB3660"/>
    <w:rsid w:val="00CB504A"/>
    <w:rsid w:val="00CB6232"/>
    <w:rsid w:val="00CC3896"/>
    <w:rsid w:val="00CC65B8"/>
    <w:rsid w:val="00CC6EB2"/>
    <w:rsid w:val="00CD150C"/>
    <w:rsid w:val="00CD45A5"/>
    <w:rsid w:val="00CE07F3"/>
    <w:rsid w:val="00CE5B9F"/>
    <w:rsid w:val="00CE732E"/>
    <w:rsid w:val="00CF1789"/>
    <w:rsid w:val="00CF4353"/>
    <w:rsid w:val="00CF6E99"/>
    <w:rsid w:val="00D024FA"/>
    <w:rsid w:val="00D035DA"/>
    <w:rsid w:val="00D046F1"/>
    <w:rsid w:val="00D0489A"/>
    <w:rsid w:val="00D0719E"/>
    <w:rsid w:val="00D076E9"/>
    <w:rsid w:val="00D12BDD"/>
    <w:rsid w:val="00D16F08"/>
    <w:rsid w:val="00D178E8"/>
    <w:rsid w:val="00D2136A"/>
    <w:rsid w:val="00D223E7"/>
    <w:rsid w:val="00D22581"/>
    <w:rsid w:val="00D232BF"/>
    <w:rsid w:val="00D234AA"/>
    <w:rsid w:val="00D24632"/>
    <w:rsid w:val="00D412A7"/>
    <w:rsid w:val="00D55D19"/>
    <w:rsid w:val="00D73A74"/>
    <w:rsid w:val="00D80010"/>
    <w:rsid w:val="00D8128B"/>
    <w:rsid w:val="00D813E1"/>
    <w:rsid w:val="00D8322A"/>
    <w:rsid w:val="00D913CE"/>
    <w:rsid w:val="00D9259A"/>
    <w:rsid w:val="00D92EDD"/>
    <w:rsid w:val="00D9441B"/>
    <w:rsid w:val="00D9750D"/>
    <w:rsid w:val="00DA0BAB"/>
    <w:rsid w:val="00DA7DBE"/>
    <w:rsid w:val="00DB4BB0"/>
    <w:rsid w:val="00DB77AC"/>
    <w:rsid w:val="00DC03B7"/>
    <w:rsid w:val="00DC24AF"/>
    <w:rsid w:val="00DC5464"/>
    <w:rsid w:val="00DE1222"/>
    <w:rsid w:val="00DE38C0"/>
    <w:rsid w:val="00DE6787"/>
    <w:rsid w:val="00DF7DBC"/>
    <w:rsid w:val="00E00B53"/>
    <w:rsid w:val="00E02E64"/>
    <w:rsid w:val="00E0380D"/>
    <w:rsid w:val="00E1397E"/>
    <w:rsid w:val="00E16144"/>
    <w:rsid w:val="00E70DFE"/>
    <w:rsid w:val="00E773CF"/>
    <w:rsid w:val="00E804D6"/>
    <w:rsid w:val="00E93174"/>
    <w:rsid w:val="00E954AA"/>
    <w:rsid w:val="00E97FE4"/>
    <w:rsid w:val="00EA4F8E"/>
    <w:rsid w:val="00EA5C15"/>
    <w:rsid w:val="00EA6B0D"/>
    <w:rsid w:val="00EA7AB3"/>
    <w:rsid w:val="00EB491E"/>
    <w:rsid w:val="00EB548D"/>
    <w:rsid w:val="00EB711A"/>
    <w:rsid w:val="00EC0AA5"/>
    <w:rsid w:val="00EC1967"/>
    <w:rsid w:val="00EC37F1"/>
    <w:rsid w:val="00ED1FD0"/>
    <w:rsid w:val="00ED4AC7"/>
    <w:rsid w:val="00ED584A"/>
    <w:rsid w:val="00EE25CB"/>
    <w:rsid w:val="00EE7987"/>
    <w:rsid w:val="00F116B2"/>
    <w:rsid w:val="00F14255"/>
    <w:rsid w:val="00F144DD"/>
    <w:rsid w:val="00F20ED6"/>
    <w:rsid w:val="00F248DB"/>
    <w:rsid w:val="00F24D34"/>
    <w:rsid w:val="00F30D86"/>
    <w:rsid w:val="00F316C7"/>
    <w:rsid w:val="00F361FB"/>
    <w:rsid w:val="00F4031F"/>
    <w:rsid w:val="00F473E3"/>
    <w:rsid w:val="00F54409"/>
    <w:rsid w:val="00F54F82"/>
    <w:rsid w:val="00F635CE"/>
    <w:rsid w:val="00F770F5"/>
    <w:rsid w:val="00F777A4"/>
    <w:rsid w:val="00F80E5B"/>
    <w:rsid w:val="00F84D83"/>
    <w:rsid w:val="00F979F7"/>
    <w:rsid w:val="00FA04B3"/>
    <w:rsid w:val="00FB5AA9"/>
    <w:rsid w:val="00FC2DC2"/>
    <w:rsid w:val="00FD3667"/>
    <w:rsid w:val="00FD5A2E"/>
    <w:rsid w:val="00FD7887"/>
    <w:rsid w:val="00FE576C"/>
    <w:rsid w:val="00FE6D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CDF226-8B43-44C4-AECC-35465FD8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3F"/>
    <w:pPr>
      <w:spacing w:after="120" w:line="240" w:lineRule="auto"/>
      <w:jc w:val="both"/>
    </w:pPr>
    <w:rPr>
      <w:rFonts w:ascii="Arial" w:hAnsi="Arial" w:cs="Arial"/>
      <w:lang w:val="en-US"/>
    </w:rPr>
  </w:style>
  <w:style w:type="paragraph" w:styleId="Heading1">
    <w:name w:val="heading 1"/>
    <w:basedOn w:val="Normal"/>
    <w:next w:val="Normal"/>
    <w:link w:val="Heading1Char"/>
    <w:uiPriority w:val="9"/>
    <w:qFormat/>
    <w:rsid w:val="00A224D5"/>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313"/>
    <w:pPr>
      <w:ind w:left="720"/>
      <w:contextualSpacing/>
    </w:pPr>
  </w:style>
  <w:style w:type="character" w:customStyle="1" w:styleId="Heading1Char">
    <w:name w:val="Heading 1 Char"/>
    <w:basedOn w:val="DefaultParagraphFont"/>
    <w:link w:val="Heading1"/>
    <w:uiPriority w:val="9"/>
    <w:rsid w:val="00A224D5"/>
    <w:rPr>
      <w:rFonts w:ascii="Arial" w:hAnsi="Arial" w:cs="Arial"/>
      <w:b/>
    </w:rPr>
  </w:style>
  <w:style w:type="paragraph" w:styleId="FootnoteText">
    <w:name w:val="footnote text"/>
    <w:basedOn w:val="Normal"/>
    <w:link w:val="FootnoteTextChar"/>
    <w:unhideWhenUsed/>
    <w:rsid w:val="00896E08"/>
    <w:pPr>
      <w:spacing w:after="200" w:line="276" w:lineRule="auto"/>
      <w:jc w:val="left"/>
    </w:pPr>
    <w:rPr>
      <w:rFonts w:ascii="Calibri" w:eastAsia="Calibri" w:hAnsi="Calibri" w:cs="Times New Roman"/>
      <w:sz w:val="20"/>
      <w:szCs w:val="20"/>
      <w:lang w:val="en-GB"/>
    </w:rPr>
  </w:style>
  <w:style w:type="character" w:customStyle="1" w:styleId="FootnoteTextChar">
    <w:name w:val="Footnote Text Char"/>
    <w:basedOn w:val="DefaultParagraphFont"/>
    <w:link w:val="FootnoteText"/>
    <w:rsid w:val="00896E08"/>
    <w:rPr>
      <w:rFonts w:ascii="Calibri" w:eastAsia="Calibri" w:hAnsi="Calibri" w:cs="Times New Roman"/>
      <w:sz w:val="20"/>
      <w:szCs w:val="20"/>
      <w:lang w:val="en-GB"/>
    </w:rPr>
  </w:style>
  <w:style w:type="paragraph" w:styleId="Header">
    <w:name w:val="header"/>
    <w:basedOn w:val="Normal"/>
    <w:link w:val="HeaderChar"/>
    <w:uiPriority w:val="99"/>
    <w:unhideWhenUsed/>
    <w:rsid w:val="00FD5A2E"/>
    <w:pPr>
      <w:tabs>
        <w:tab w:val="center" w:pos="4819"/>
        <w:tab w:val="right" w:pos="9638"/>
      </w:tabs>
      <w:spacing w:after="0"/>
    </w:pPr>
  </w:style>
  <w:style w:type="character" w:customStyle="1" w:styleId="HeaderChar">
    <w:name w:val="Header Char"/>
    <w:basedOn w:val="DefaultParagraphFont"/>
    <w:link w:val="Header"/>
    <w:uiPriority w:val="99"/>
    <w:rsid w:val="00FD5A2E"/>
    <w:rPr>
      <w:rFonts w:ascii="Arial" w:hAnsi="Arial" w:cs="Arial"/>
      <w:lang w:val="en-US"/>
    </w:rPr>
  </w:style>
  <w:style w:type="paragraph" w:styleId="Footer">
    <w:name w:val="footer"/>
    <w:basedOn w:val="Normal"/>
    <w:link w:val="FooterChar"/>
    <w:uiPriority w:val="99"/>
    <w:unhideWhenUsed/>
    <w:rsid w:val="00FD5A2E"/>
    <w:pPr>
      <w:tabs>
        <w:tab w:val="center" w:pos="4819"/>
        <w:tab w:val="right" w:pos="9638"/>
      </w:tabs>
      <w:spacing w:after="0"/>
    </w:pPr>
  </w:style>
  <w:style w:type="character" w:customStyle="1" w:styleId="FooterChar">
    <w:name w:val="Footer Char"/>
    <w:basedOn w:val="DefaultParagraphFont"/>
    <w:link w:val="Footer"/>
    <w:uiPriority w:val="99"/>
    <w:rsid w:val="00FD5A2E"/>
    <w:rPr>
      <w:rFonts w:ascii="Arial" w:hAnsi="Arial" w:cs="Arial"/>
      <w:lang w:val="en-US"/>
    </w:rPr>
  </w:style>
  <w:style w:type="paragraph" w:styleId="BalloonText">
    <w:name w:val="Balloon Text"/>
    <w:basedOn w:val="Normal"/>
    <w:link w:val="BalloonTextChar"/>
    <w:uiPriority w:val="99"/>
    <w:semiHidden/>
    <w:unhideWhenUsed/>
    <w:rsid w:val="00C32B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B0F"/>
    <w:rPr>
      <w:rFonts w:ascii="Tahoma" w:hAnsi="Tahoma" w:cs="Tahoma"/>
      <w:sz w:val="16"/>
      <w:szCs w:val="16"/>
      <w:lang w:val="en-US"/>
    </w:rPr>
  </w:style>
  <w:style w:type="table" w:styleId="TableGrid">
    <w:name w:val="Table Grid"/>
    <w:basedOn w:val="TableNormal"/>
    <w:uiPriority w:val="39"/>
    <w:rsid w:val="000A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9411CB"/>
    <w:rPr>
      <w:vertAlign w:val="superscript"/>
    </w:rPr>
  </w:style>
  <w:style w:type="character" w:styleId="CommentReference">
    <w:name w:val="annotation reference"/>
    <w:basedOn w:val="DefaultParagraphFont"/>
    <w:uiPriority w:val="99"/>
    <w:semiHidden/>
    <w:unhideWhenUsed/>
    <w:rsid w:val="00D223E7"/>
    <w:rPr>
      <w:sz w:val="16"/>
      <w:szCs w:val="16"/>
    </w:rPr>
  </w:style>
  <w:style w:type="paragraph" w:styleId="CommentText">
    <w:name w:val="annotation text"/>
    <w:basedOn w:val="Normal"/>
    <w:link w:val="CommentTextChar"/>
    <w:uiPriority w:val="99"/>
    <w:semiHidden/>
    <w:unhideWhenUsed/>
    <w:rsid w:val="00D223E7"/>
    <w:rPr>
      <w:sz w:val="20"/>
      <w:szCs w:val="20"/>
    </w:rPr>
  </w:style>
  <w:style w:type="character" w:customStyle="1" w:styleId="CommentTextChar">
    <w:name w:val="Comment Text Char"/>
    <w:basedOn w:val="DefaultParagraphFont"/>
    <w:link w:val="CommentText"/>
    <w:uiPriority w:val="99"/>
    <w:semiHidden/>
    <w:rsid w:val="00D223E7"/>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223E7"/>
    <w:rPr>
      <w:b/>
      <w:bCs/>
    </w:rPr>
  </w:style>
  <w:style w:type="character" w:customStyle="1" w:styleId="CommentSubjectChar">
    <w:name w:val="Comment Subject Char"/>
    <w:basedOn w:val="CommentTextChar"/>
    <w:link w:val="CommentSubject"/>
    <w:uiPriority w:val="99"/>
    <w:semiHidden/>
    <w:rsid w:val="00D223E7"/>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09310">
      <w:bodyDiv w:val="1"/>
      <w:marLeft w:val="0"/>
      <w:marRight w:val="0"/>
      <w:marTop w:val="0"/>
      <w:marBottom w:val="0"/>
      <w:divBdr>
        <w:top w:val="none" w:sz="0" w:space="0" w:color="auto"/>
        <w:left w:val="none" w:sz="0" w:space="0" w:color="auto"/>
        <w:bottom w:val="none" w:sz="0" w:space="0" w:color="auto"/>
        <w:right w:val="none" w:sz="0" w:space="0" w:color="auto"/>
      </w:divBdr>
    </w:div>
    <w:div w:id="6442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9FB66-9996-433F-A2DE-274058D0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Faber</dc:creator>
  <cp:lastModifiedBy>ugo.falciola</cp:lastModifiedBy>
  <cp:revision>2</cp:revision>
  <cp:lastPrinted>2019-10-11T11:56:00Z</cp:lastPrinted>
  <dcterms:created xsi:type="dcterms:W3CDTF">2020-10-14T07:51:00Z</dcterms:created>
  <dcterms:modified xsi:type="dcterms:W3CDTF">2020-10-14T07:51:00Z</dcterms:modified>
</cp:coreProperties>
</file>